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bookmarkStart w:id="0" w:name="_Hlk177547361"/>
      <w:bookmarkEnd w:id="0"/>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65B2728C"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BD2B9E">
        <w:t>1</w:t>
      </w:r>
      <w:r w:rsidR="00043963">
        <w:t>6</w:t>
      </w:r>
      <w:r w:rsidR="005420B4" w:rsidRPr="00893890">
        <w:t>.</w:t>
      </w:r>
      <w:r w:rsidR="00296EFF">
        <w:t xml:space="preserve"> </w:t>
      </w:r>
      <w:r w:rsidR="00BD2B9E">
        <w:t>října</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75349DD5" w14:textId="5948F7C4" w:rsidR="004D79D4" w:rsidRDefault="00262CDC" w:rsidP="00BE3711">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BD2B9E">
        <w:rPr>
          <w:rStyle w:val="normaltextrun"/>
          <w:rFonts w:ascii="Arial" w:hAnsi="Arial" w:cs="Arial"/>
          <w:b/>
          <w:bCs/>
          <w:color w:val="000000"/>
          <w:sz w:val="28"/>
          <w:szCs w:val="28"/>
          <w:lang w:val="cs-CZ"/>
        </w:rPr>
        <w:t xml:space="preserve">Čínské stimuly </w:t>
      </w:r>
      <w:r w:rsidR="00BD2B9E" w:rsidRPr="00BD2B9E">
        <w:rPr>
          <w:rStyle w:val="normaltextrun"/>
          <w:rFonts w:ascii="Arial" w:hAnsi="Arial"/>
          <w:b/>
          <w:bCs/>
          <w:color w:val="000000"/>
          <w:sz w:val="28"/>
          <w:szCs w:val="28"/>
        </w:rPr>
        <w:t>–</w:t>
      </w:r>
      <w:r w:rsidR="00BD2B9E" w:rsidRPr="00BD2B9E">
        <w:rPr>
          <w:rStyle w:val="normaltextrun"/>
          <w:rFonts w:ascii="Arial" w:hAnsi="Arial"/>
          <w:b/>
          <w:bCs/>
          <w:color w:val="000000"/>
          <w:sz w:val="28"/>
          <w:szCs w:val="28"/>
          <w:lang w:val="cs-CZ"/>
        </w:rPr>
        <w:t xml:space="preserve"> inspiraci</w:t>
      </w:r>
      <w:r w:rsidR="00BD2B9E">
        <w:rPr>
          <w:rStyle w:val="normaltextrun"/>
          <w:rFonts w:ascii="Arial" w:hAnsi="Arial"/>
          <w:b/>
          <w:bCs/>
          <w:color w:val="000000"/>
          <w:sz w:val="28"/>
          <w:szCs w:val="28"/>
        </w:rPr>
        <w:t xml:space="preserve"> v </w:t>
      </w:r>
      <w:r w:rsidR="00BD2B9E" w:rsidRPr="00BD2B9E">
        <w:rPr>
          <w:rStyle w:val="normaltextrun"/>
          <w:rFonts w:ascii="Arial" w:hAnsi="Arial"/>
          <w:b/>
          <w:bCs/>
          <w:color w:val="000000"/>
          <w:sz w:val="28"/>
          <w:szCs w:val="28"/>
          <w:lang w:val="cs-CZ"/>
        </w:rPr>
        <w:t>minulosti nehledejte</w:t>
      </w:r>
    </w:p>
    <w:p w14:paraId="61504C6E" w14:textId="1AD4B204" w:rsidR="00DA3B92" w:rsidRPr="00755878" w:rsidRDefault="00BD2B9E"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Portfolio manažeři Oliver </w:t>
      </w:r>
      <w:proofErr w:type="spellStart"/>
      <w:r>
        <w:rPr>
          <w:rFonts w:asciiTheme="minorHAnsi" w:hAnsiTheme="minorHAnsi" w:cstheme="minorHAnsi"/>
          <w:b/>
          <w:bCs/>
          <w:sz w:val="24"/>
          <w:szCs w:val="24"/>
        </w:rPr>
        <w:t>Hextall</w:t>
      </w:r>
      <w:proofErr w:type="spellEnd"/>
      <w:r>
        <w:rPr>
          <w:rFonts w:asciiTheme="minorHAnsi" w:hAnsiTheme="minorHAnsi" w:cstheme="minorHAnsi"/>
          <w:b/>
          <w:bCs/>
          <w:sz w:val="24"/>
          <w:szCs w:val="24"/>
        </w:rPr>
        <w:t xml:space="preserve"> a James </w:t>
      </w:r>
      <w:proofErr w:type="spellStart"/>
      <w:r>
        <w:rPr>
          <w:rFonts w:asciiTheme="minorHAnsi" w:hAnsiTheme="minorHAnsi" w:cstheme="minorHAnsi"/>
          <w:b/>
          <w:bCs/>
          <w:sz w:val="24"/>
          <w:szCs w:val="24"/>
        </w:rPr>
        <w:t>Richards</w:t>
      </w:r>
      <w:proofErr w:type="spellEnd"/>
      <w:r>
        <w:rPr>
          <w:rFonts w:asciiTheme="minorHAnsi" w:hAnsiTheme="minorHAnsi" w:cstheme="minorHAnsi"/>
          <w:b/>
          <w:bCs/>
          <w:sz w:val="24"/>
          <w:szCs w:val="24"/>
        </w:rPr>
        <w:t xml:space="preserve"> vysvětlují, co čínský stimulační balíček znamená pro poptávku po komoditách a transformující se ekonomiku. </w:t>
      </w:r>
    </w:p>
    <w:p w14:paraId="1BE8E36D" w14:textId="77777777" w:rsidR="00BD2B9E" w:rsidRDefault="00BD2B9E" w:rsidP="00BD2B9E">
      <w:pPr>
        <w:spacing w:line="360" w:lineRule="auto"/>
      </w:pPr>
      <w:r>
        <w:rPr>
          <w:color w:val="20242B"/>
          <w:shd w:val="clear" w:color="auto" w:fill="FFFFFF"/>
        </w:rPr>
        <w:t>Sentiment</w:t>
      </w:r>
      <w:r>
        <w:t>, co se týče</w:t>
      </w:r>
      <w:r w:rsidRPr="00F661A6">
        <w:t xml:space="preserve"> materiálů</w:t>
      </w:r>
      <w:r>
        <w:t>,</w:t>
      </w:r>
      <w:r w:rsidRPr="00F661A6">
        <w:t xml:space="preserve"> se v září poměrně výrazně změnil poté, co Čína oznámila měnové a fiskální stimuly. </w:t>
      </w:r>
      <w:r>
        <w:t>Na</w:t>
      </w:r>
      <w:r w:rsidRPr="00F661A6">
        <w:t xml:space="preserve"> tiskové konferenci Národní komise pro rozvoj a reformy (NDRC) 8. října </w:t>
      </w:r>
      <w:r>
        <w:t xml:space="preserve">ale </w:t>
      </w:r>
      <w:r w:rsidRPr="00F661A6">
        <w:t>nebyla oznámena významnější stimulační opatření</w:t>
      </w:r>
      <w:r>
        <w:t>, což pak přineslo vyprodání trhu.</w:t>
      </w:r>
    </w:p>
    <w:p w14:paraId="50C278D5" w14:textId="4FA26B9B" w:rsidR="00BD2B9E" w:rsidRDefault="00BD2B9E" w:rsidP="00BD2B9E">
      <w:pPr>
        <w:spacing w:line="360" w:lineRule="auto"/>
      </w:pPr>
      <w:r w:rsidRPr="00F661A6">
        <w:t xml:space="preserve">Vzhledem k omezenému časovému horizontu na trhu existuje riziko, že investorům unikne širší pohled </w:t>
      </w:r>
      <w:r>
        <w:t>na</w:t>
      </w:r>
      <w:r w:rsidRPr="00F661A6">
        <w:t xml:space="preserve"> nedávn</w:t>
      </w:r>
      <w:r>
        <w:t xml:space="preserve">é </w:t>
      </w:r>
      <w:r w:rsidRPr="00F661A6">
        <w:t>politick</w:t>
      </w:r>
      <w:r>
        <w:t>é</w:t>
      </w:r>
      <w:r w:rsidRPr="00F661A6">
        <w:t xml:space="preserve"> událost</w:t>
      </w:r>
      <w:r>
        <w:t>i</w:t>
      </w:r>
      <w:r w:rsidRPr="00F661A6">
        <w:t xml:space="preserve"> v Číně. Domníváme se, že </w:t>
      </w:r>
      <w:r>
        <w:t xml:space="preserve">tyto </w:t>
      </w:r>
      <w:r w:rsidRPr="00F661A6">
        <w:t xml:space="preserve">důsledky </w:t>
      </w:r>
      <w:r>
        <w:t xml:space="preserve">jsou </w:t>
      </w:r>
      <w:r w:rsidRPr="00F661A6">
        <w:t>pro oblast komodit</w:t>
      </w:r>
      <w:r>
        <w:t xml:space="preserve"> </w:t>
      </w:r>
      <w:r w:rsidRPr="00F661A6">
        <w:t>důležité.</w:t>
      </w:r>
    </w:p>
    <w:p w14:paraId="73057843" w14:textId="77777777" w:rsidR="00BD2B9E" w:rsidRPr="00BD2B9E" w:rsidRDefault="00BD2B9E" w:rsidP="00BD2B9E">
      <w:pPr>
        <w:pStyle w:val="FIL3Body"/>
        <w:spacing w:before="160" w:after="160" w:line="360" w:lineRule="auto"/>
        <w:jc w:val="both"/>
        <w:rPr>
          <w:rFonts w:cs="Arial"/>
          <w:color w:val="auto"/>
          <w:sz w:val="20"/>
          <w:szCs w:val="20"/>
          <w:lang w:val="cs-CZ" w:eastAsia="cs-CZ"/>
        </w:rPr>
      </w:pPr>
      <w:r w:rsidRPr="00BD2B9E">
        <w:rPr>
          <w:rFonts w:cs="Arial"/>
          <w:color w:val="auto"/>
          <w:sz w:val="20"/>
          <w:szCs w:val="20"/>
          <w:lang w:val="cs-CZ" w:eastAsia="cs-CZ"/>
        </w:rPr>
        <w:t>Podle našeho názoru je toto oznámení mimo cyklus a koordinace měnových a fiskálních stimulů připomíná kroky „ať to stojí, co to stojí“ přicházející od centrální vlády. Domníváme se ale, že se nebude pravděpodobně jednat o větší množství stimulů vzhledem k potřebě řídit rizika a rezervovat si určitou sílu pro případ, že by se vnější prostředí stalo nepříznivějším. Oznámení NDRC pravděpodobně nikdy nebylo hlásnou troubou pro sdělování významných stimulačních oznámení – pravděpodobně budeme muset být trpěliví a podrobnější informace hledat ve Státní radě a na ministerstvu financí.</w:t>
      </w:r>
    </w:p>
    <w:p w14:paraId="7B1AF119" w14:textId="77777777" w:rsidR="00BD2B9E" w:rsidRPr="00BD2B9E" w:rsidRDefault="00BD2B9E" w:rsidP="00BD2B9E">
      <w:pPr>
        <w:pStyle w:val="FIL3Body"/>
        <w:spacing w:before="160" w:after="160" w:line="360" w:lineRule="auto"/>
        <w:jc w:val="both"/>
        <w:rPr>
          <w:rFonts w:cs="Arial"/>
          <w:color w:val="auto"/>
          <w:sz w:val="20"/>
          <w:szCs w:val="20"/>
          <w:lang w:val="cs-CZ" w:eastAsia="cs-CZ"/>
        </w:rPr>
      </w:pPr>
      <w:r w:rsidRPr="00BD2B9E">
        <w:rPr>
          <w:rFonts w:cs="Arial"/>
          <w:color w:val="auto"/>
          <w:sz w:val="20"/>
          <w:szCs w:val="20"/>
          <w:lang w:val="cs-CZ" w:eastAsia="cs-CZ"/>
        </w:rPr>
        <w:t>Jako vždy budeme věnovat velkou pozornost komentářům a pokynům, které zazní během výsledkových diskuzí; to bude mít zásadní význam pro představu o stavu ekonomiky a výsledcích v příštím čtvrtletí.</w:t>
      </w:r>
    </w:p>
    <w:p w14:paraId="38D3A69D" w14:textId="77777777" w:rsidR="00BD2B9E" w:rsidRPr="00BD2B9E" w:rsidRDefault="00BD2B9E" w:rsidP="00BD2B9E">
      <w:pPr>
        <w:pStyle w:val="FIL3Body"/>
        <w:spacing w:before="160" w:after="160" w:line="360" w:lineRule="auto"/>
        <w:jc w:val="both"/>
        <w:rPr>
          <w:rFonts w:cs="Arial"/>
          <w:color w:val="auto"/>
          <w:sz w:val="20"/>
          <w:szCs w:val="20"/>
          <w:lang w:val="cs-CZ" w:eastAsia="cs-CZ"/>
        </w:rPr>
      </w:pPr>
      <w:r w:rsidRPr="00BD2B9E">
        <w:rPr>
          <w:rFonts w:cs="Arial"/>
          <w:color w:val="auto"/>
          <w:sz w:val="20"/>
          <w:szCs w:val="20"/>
          <w:lang w:val="cs-CZ" w:eastAsia="cs-CZ"/>
        </w:rPr>
        <w:t xml:space="preserve">Co přesně stimuly znamenají pro poptávku po komoditách – bude to stačit k překonání přetrvávajících strukturálních problémů čínské ekonomiky, zejména u nemovitostí a demografie? V případě komodit to skeptický trh vnímá jako stimuly pro podporu spotřebitelů spíše než jako řešení minulé reflace u nemovitostí. </w:t>
      </w:r>
    </w:p>
    <w:p w14:paraId="7ABE3226" w14:textId="77777777" w:rsidR="00BD2B9E" w:rsidRPr="00BD2B9E" w:rsidRDefault="00BD2B9E" w:rsidP="00BD2B9E">
      <w:pPr>
        <w:pStyle w:val="FIL3Body"/>
        <w:spacing w:before="160" w:after="160" w:line="360" w:lineRule="auto"/>
        <w:jc w:val="both"/>
        <w:rPr>
          <w:rFonts w:cs="Arial"/>
          <w:color w:val="auto"/>
          <w:sz w:val="20"/>
          <w:szCs w:val="20"/>
          <w:lang w:val="cs-CZ" w:eastAsia="cs-CZ"/>
        </w:rPr>
      </w:pPr>
      <w:r w:rsidRPr="00BD2B9E">
        <w:rPr>
          <w:rFonts w:cs="Arial"/>
          <w:color w:val="auto"/>
          <w:sz w:val="20"/>
          <w:szCs w:val="20"/>
          <w:lang w:val="cs-CZ" w:eastAsia="cs-CZ"/>
        </w:rPr>
        <w:t xml:space="preserve">S některými aspekty této skepse souhlasíme – z agresivní </w:t>
      </w:r>
      <w:proofErr w:type="spellStart"/>
      <w:r w:rsidRPr="00BD2B9E">
        <w:rPr>
          <w:rFonts w:cs="Arial"/>
          <w:color w:val="auto"/>
          <w:sz w:val="20"/>
          <w:szCs w:val="20"/>
          <w:lang w:val="cs-CZ" w:eastAsia="cs-CZ"/>
        </w:rPr>
        <w:t>rally</w:t>
      </w:r>
      <w:proofErr w:type="spellEnd"/>
      <w:r w:rsidRPr="00BD2B9E">
        <w:rPr>
          <w:rFonts w:cs="Arial"/>
          <w:color w:val="auto"/>
          <w:sz w:val="20"/>
          <w:szCs w:val="20"/>
          <w:lang w:val="cs-CZ" w:eastAsia="cs-CZ"/>
        </w:rPr>
        <w:t xml:space="preserve"> po železné rudě není zcela jasné, zda bylo dobře pochopeno, že opatření na podporu nemovitostního sektoru jsou vyloženě zaměřena na strukturálně nižší nabídku. Pravděpodobnější je podle nás to, že čínská vláda zintenzivní stávající opatření na modernizaci čínských strojních zásob, modernizaci dalších zařízení, a především zdvojnásobí ty části stávajícího stimulačního balíčku, které se ukazují, že fungují.</w:t>
      </w:r>
    </w:p>
    <w:p w14:paraId="294BE251" w14:textId="77777777" w:rsidR="00BD2B9E" w:rsidRDefault="00BD2B9E" w:rsidP="00BD2B9E">
      <w:pPr>
        <w:pStyle w:val="FIL3Body"/>
        <w:spacing w:before="160" w:after="160" w:line="360" w:lineRule="auto"/>
        <w:jc w:val="both"/>
        <w:rPr>
          <w:rFonts w:cs="Arial"/>
          <w:color w:val="auto"/>
          <w:sz w:val="20"/>
          <w:szCs w:val="20"/>
          <w:lang w:val="cs-CZ" w:eastAsia="cs-CZ"/>
        </w:rPr>
      </w:pPr>
      <w:r w:rsidRPr="00BD2B9E">
        <w:rPr>
          <w:rFonts w:cs="Arial"/>
          <w:color w:val="auto"/>
          <w:sz w:val="20"/>
          <w:szCs w:val="20"/>
          <w:lang w:val="cs-CZ" w:eastAsia="cs-CZ"/>
        </w:rPr>
        <w:t xml:space="preserve">Čínská oznámení vlastně pravděpodobně zintenzivní trend, který jsme pozorovali v posledních 2-3 letech, kdy se měnily faktory čínské poptávky po komoditách a v důsledku toho se měnili vítězové a poražení. Názorně to ilustruje prezentace výsledků kovodělné a těžební společnosti Rio </w:t>
      </w:r>
      <w:proofErr w:type="spellStart"/>
      <w:r w:rsidRPr="00BD2B9E">
        <w:rPr>
          <w:rFonts w:cs="Arial"/>
          <w:color w:val="auto"/>
          <w:sz w:val="20"/>
          <w:szCs w:val="20"/>
          <w:lang w:val="cs-CZ" w:eastAsia="cs-CZ"/>
        </w:rPr>
        <w:t>Tinto</w:t>
      </w:r>
      <w:proofErr w:type="spellEnd"/>
      <w:r w:rsidRPr="00BD2B9E">
        <w:rPr>
          <w:rFonts w:cs="Arial"/>
          <w:color w:val="auto"/>
          <w:sz w:val="20"/>
          <w:szCs w:val="20"/>
          <w:lang w:val="cs-CZ" w:eastAsia="cs-CZ"/>
        </w:rPr>
        <w:t xml:space="preserve"> za rok 23.</w:t>
      </w:r>
    </w:p>
    <w:p w14:paraId="2DC32760" w14:textId="628C8CA0" w:rsidR="00DA3B92" w:rsidRPr="00BD2B9E" w:rsidRDefault="00BD2B9E" w:rsidP="00BD2B9E">
      <w:pPr>
        <w:pStyle w:val="FIL3Body"/>
        <w:spacing w:before="160" w:after="160" w:line="360" w:lineRule="auto"/>
        <w:jc w:val="both"/>
        <w:rPr>
          <w:rFonts w:cs="Arial"/>
          <w:color w:val="auto"/>
          <w:sz w:val="20"/>
          <w:szCs w:val="20"/>
          <w:lang w:val="cs-CZ" w:eastAsia="cs-CZ"/>
        </w:rPr>
      </w:pPr>
      <w:r>
        <w:rPr>
          <w:rFonts w:cs="Arial"/>
          <w:b/>
          <w:bCs/>
          <w:color w:val="20242B"/>
          <w:sz w:val="20"/>
          <w:szCs w:val="20"/>
          <w:shd w:val="clear" w:color="auto" w:fill="FFFFFF"/>
          <w:lang w:val="cs-CZ" w:eastAsia="cs-CZ"/>
        </w:rPr>
        <w:lastRenderedPageBreak/>
        <w:t>Graf 1: Hnací síly poptávky po oceli v Číně se mění:</w:t>
      </w:r>
    </w:p>
    <w:p w14:paraId="5098D914" w14:textId="6A29075F" w:rsidR="00794013" w:rsidRDefault="00794013" w:rsidP="00794013">
      <w:pPr>
        <w:pStyle w:val="FIL3Body"/>
        <w:spacing w:before="0" w:after="0" w:line="240" w:lineRule="auto"/>
        <w:rPr>
          <w:sz w:val="15"/>
          <w:szCs w:val="15"/>
        </w:rPr>
      </w:pPr>
      <w:r>
        <w:rPr>
          <w:noProof/>
        </w:rPr>
        <w:drawing>
          <wp:inline distT="0" distB="0" distL="0" distR="0" wp14:anchorId="753F439F" wp14:editId="65F7B84F">
            <wp:extent cx="5759450" cy="2150998"/>
            <wp:effectExtent l="0" t="0" r="0" b="1905"/>
            <wp:docPr id="130268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89703" name=""/>
                    <pic:cNvPicPr/>
                  </pic:nvPicPr>
                  <pic:blipFill>
                    <a:blip r:embed="rId12"/>
                    <a:stretch>
                      <a:fillRect/>
                    </a:stretch>
                  </pic:blipFill>
                  <pic:spPr>
                    <a:xfrm>
                      <a:off x="0" y="0"/>
                      <a:ext cx="5759450" cy="2150998"/>
                    </a:xfrm>
                    <a:prstGeom prst="rect">
                      <a:avLst/>
                    </a:prstGeom>
                  </pic:spPr>
                </pic:pic>
              </a:graphicData>
            </a:graphic>
          </wp:inline>
        </w:drawing>
      </w:r>
      <w:r w:rsidRPr="00794013">
        <w:rPr>
          <w:rFonts w:cs="Arial"/>
          <w:color w:val="auto"/>
          <w:sz w:val="16"/>
          <w:szCs w:val="16"/>
          <w:lang w:val="cs-CZ" w:eastAsia="cs-CZ"/>
        </w:rPr>
        <w:t xml:space="preserve">Zdroj: Rio </w:t>
      </w:r>
      <w:proofErr w:type="spellStart"/>
      <w:r w:rsidRPr="00794013">
        <w:rPr>
          <w:rFonts w:cs="Arial"/>
          <w:color w:val="auto"/>
          <w:sz w:val="16"/>
          <w:szCs w:val="16"/>
          <w:lang w:val="cs-CZ" w:eastAsia="cs-CZ"/>
        </w:rPr>
        <w:t>Tinto</w:t>
      </w:r>
      <w:proofErr w:type="spellEnd"/>
      <w:r w:rsidRPr="00794013">
        <w:rPr>
          <w:rFonts w:cs="Arial"/>
          <w:color w:val="auto"/>
          <w:sz w:val="16"/>
          <w:szCs w:val="16"/>
          <w:lang w:val="cs-CZ" w:eastAsia="cs-CZ"/>
        </w:rPr>
        <w:t xml:space="preserve">, 21 únor 2024. Rio </w:t>
      </w:r>
      <w:proofErr w:type="spellStart"/>
      <w:r w:rsidRPr="00794013">
        <w:rPr>
          <w:rFonts w:cs="Arial"/>
          <w:color w:val="auto"/>
          <w:sz w:val="16"/>
          <w:szCs w:val="16"/>
          <w:lang w:val="cs-CZ" w:eastAsia="cs-CZ"/>
        </w:rPr>
        <w:t>Tinto</w:t>
      </w:r>
      <w:proofErr w:type="spellEnd"/>
      <w:r w:rsidRPr="00794013">
        <w:rPr>
          <w:rFonts w:cs="Arial"/>
          <w:color w:val="auto"/>
          <w:sz w:val="16"/>
          <w:szCs w:val="16"/>
          <w:lang w:val="cs-CZ" w:eastAsia="cs-CZ"/>
        </w:rPr>
        <w:t xml:space="preserve"> Market </w:t>
      </w:r>
      <w:proofErr w:type="spellStart"/>
      <w:r w:rsidRPr="00794013">
        <w:rPr>
          <w:rFonts w:cs="Arial"/>
          <w:color w:val="auto"/>
          <w:sz w:val="16"/>
          <w:szCs w:val="16"/>
          <w:lang w:val="cs-CZ" w:eastAsia="cs-CZ"/>
        </w:rPr>
        <w:t>Analysis</w:t>
      </w:r>
      <w:proofErr w:type="spellEnd"/>
      <w:r w:rsidRPr="00794013">
        <w:rPr>
          <w:rFonts w:cs="Arial"/>
          <w:color w:val="auto"/>
          <w:sz w:val="16"/>
          <w:szCs w:val="16"/>
          <w:lang w:val="cs-CZ" w:eastAsia="cs-CZ"/>
        </w:rPr>
        <w:t xml:space="preserve">, CEIC, </w:t>
      </w:r>
      <w:proofErr w:type="spellStart"/>
      <w:r w:rsidRPr="00794013">
        <w:rPr>
          <w:rFonts w:cs="Arial"/>
          <w:color w:val="auto"/>
          <w:sz w:val="16"/>
          <w:szCs w:val="16"/>
          <w:lang w:val="cs-CZ" w:eastAsia="cs-CZ"/>
        </w:rPr>
        <w:t>Wind</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China</w:t>
      </w:r>
      <w:proofErr w:type="spellEnd"/>
      <w:r w:rsidRPr="00794013">
        <w:rPr>
          <w:rFonts w:cs="Arial"/>
          <w:color w:val="auto"/>
          <w:sz w:val="16"/>
          <w:szCs w:val="16"/>
          <w:lang w:val="cs-CZ" w:eastAsia="cs-CZ"/>
        </w:rPr>
        <w:t xml:space="preserve"> NBS | 1FAI = </w:t>
      </w:r>
      <w:proofErr w:type="spellStart"/>
      <w:r w:rsidRPr="00794013">
        <w:rPr>
          <w:rFonts w:cs="Arial"/>
          <w:color w:val="auto"/>
          <w:sz w:val="16"/>
          <w:szCs w:val="16"/>
          <w:lang w:val="cs-CZ" w:eastAsia="cs-CZ"/>
        </w:rPr>
        <w:t>Fixed</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Asset</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Investment</w:t>
      </w:r>
      <w:proofErr w:type="spellEnd"/>
      <w:r w:rsidRPr="00794013">
        <w:rPr>
          <w:rFonts w:cs="Arial"/>
          <w:color w:val="auto"/>
          <w:sz w:val="16"/>
          <w:szCs w:val="16"/>
          <w:lang w:val="cs-CZ" w:eastAsia="cs-CZ"/>
        </w:rPr>
        <w:t xml:space="preserve"> | 2Commodity </w:t>
      </w:r>
      <w:proofErr w:type="spellStart"/>
      <w:r w:rsidRPr="00794013">
        <w:rPr>
          <w:rFonts w:cs="Arial"/>
          <w:color w:val="auto"/>
          <w:sz w:val="16"/>
          <w:szCs w:val="16"/>
          <w:lang w:val="cs-CZ" w:eastAsia="cs-CZ"/>
        </w:rPr>
        <w:t>building</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refers</w:t>
      </w:r>
      <w:proofErr w:type="spellEnd"/>
      <w:r w:rsidRPr="00794013">
        <w:rPr>
          <w:rFonts w:cs="Arial"/>
          <w:color w:val="auto"/>
          <w:sz w:val="16"/>
          <w:szCs w:val="16"/>
          <w:lang w:val="cs-CZ" w:eastAsia="cs-CZ"/>
        </w:rPr>
        <w:t xml:space="preserve"> to </w:t>
      </w:r>
      <w:proofErr w:type="spellStart"/>
      <w:r w:rsidRPr="00794013">
        <w:rPr>
          <w:rFonts w:cs="Arial"/>
          <w:color w:val="auto"/>
          <w:sz w:val="16"/>
          <w:szCs w:val="16"/>
          <w:lang w:val="cs-CZ" w:eastAsia="cs-CZ"/>
        </w:rPr>
        <w:t>all</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building</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structures</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that</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can</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be</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transacted</w:t>
      </w:r>
      <w:proofErr w:type="spellEnd"/>
      <w:r w:rsidRPr="00794013">
        <w:rPr>
          <w:rFonts w:cs="Arial"/>
          <w:color w:val="auto"/>
          <w:sz w:val="16"/>
          <w:szCs w:val="16"/>
          <w:lang w:val="cs-CZ" w:eastAsia="cs-CZ"/>
        </w:rPr>
        <w:t xml:space="preserve"> in </w:t>
      </w:r>
      <w:proofErr w:type="spellStart"/>
      <w:r w:rsidRPr="00794013">
        <w:rPr>
          <w:rFonts w:cs="Arial"/>
          <w:color w:val="auto"/>
          <w:sz w:val="16"/>
          <w:szCs w:val="16"/>
          <w:lang w:val="cs-CZ" w:eastAsia="cs-CZ"/>
        </w:rPr>
        <w:t>the</w:t>
      </w:r>
      <w:proofErr w:type="spellEnd"/>
      <w:r w:rsidRPr="00794013">
        <w:rPr>
          <w:rFonts w:cs="Arial"/>
          <w:color w:val="auto"/>
          <w:sz w:val="16"/>
          <w:szCs w:val="16"/>
          <w:lang w:val="cs-CZ" w:eastAsia="cs-CZ"/>
        </w:rPr>
        <w:t xml:space="preserve"> open market, </w:t>
      </w:r>
      <w:proofErr w:type="spellStart"/>
      <w:r w:rsidRPr="00794013">
        <w:rPr>
          <w:rFonts w:cs="Arial"/>
          <w:color w:val="auto"/>
          <w:sz w:val="16"/>
          <w:szCs w:val="16"/>
          <w:lang w:val="cs-CZ" w:eastAsia="cs-CZ"/>
        </w:rPr>
        <w:t>including</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residential</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homes</w:t>
      </w:r>
      <w:proofErr w:type="spellEnd"/>
      <w:r w:rsidRPr="00794013">
        <w:rPr>
          <w:rFonts w:cs="Arial"/>
          <w:color w:val="auto"/>
          <w:sz w:val="16"/>
          <w:szCs w:val="16"/>
          <w:lang w:val="cs-CZ" w:eastAsia="cs-CZ"/>
        </w:rPr>
        <w:t xml:space="preserve">, office </w:t>
      </w:r>
      <w:proofErr w:type="spellStart"/>
      <w:r w:rsidRPr="00794013">
        <w:rPr>
          <w:rFonts w:cs="Arial"/>
          <w:color w:val="auto"/>
          <w:sz w:val="16"/>
          <w:szCs w:val="16"/>
          <w:lang w:val="cs-CZ" w:eastAsia="cs-CZ"/>
        </w:rPr>
        <w:t>buildings</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factories</w:t>
      </w:r>
      <w:proofErr w:type="spellEnd"/>
      <w:r w:rsidRPr="00794013">
        <w:rPr>
          <w:rFonts w:cs="Arial"/>
          <w:color w:val="auto"/>
          <w:sz w:val="16"/>
          <w:szCs w:val="16"/>
          <w:lang w:val="cs-CZ" w:eastAsia="cs-CZ"/>
        </w:rPr>
        <w:t xml:space="preserve">, and </w:t>
      </w:r>
      <w:proofErr w:type="spellStart"/>
      <w:r w:rsidRPr="00794013">
        <w:rPr>
          <w:rFonts w:cs="Arial"/>
          <w:color w:val="auto"/>
          <w:sz w:val="16"/>
          <w:szCs w:val="16"/>
          <w:lang w:val="cs-CZ" w:eastAsia="cs-CZ"/>
        </w:rPr>
        <w:t>warehouses</w:t>
      </w:r>
      <w:proofErr w:type="spellEnd"/>
      <w:r w:rsidRPr="00794013">
        <w:rPr>
          <w:rFonts w:cs="Arial"/>
          <w:color w:val="auto"/>
          <w:sz w:val="16"/>
          <w:szCs w:val="16"/>
          <w:lang w:val="cs-CZ" w:eastAsia="cs-CZ"/>
        </w:rPr>
        <w:t>.</w:t>
      </w:r>
    </w:p>
    <w:p w14:paraId="12CCA3C5" w14:textId="77777777" w:rsidR="00794013" w:rsidRDefault="00794013" w:rsidP="00794013">
      <w:pPr>
        <w:pStyle w:val="FIL3Body"/>
        <w:spacing w:before="0" w:after="0" w:line="240" w:lineRule="auto"/>
        <w:rPr>
          <w:sz w:val="15"/>
          <w:szCs w:val="15"/>
        </w:rPr>
      </w:pPr>
    </w:p>
    <w:p w14:paraId="5C67C860" w14:textId="4BCCA1D9" w:rsidR="00794013" w:rsidRPr="00794013" w:rsidRDefault="00794013" w:rsidP="00794013">
      <w:pPr>
        <w:pStyle w:val="FIL3Body"/>
        <w:spacing w:line="360" w:lineRule="auto"/>
        <w:jc w:val="both"/>
        <w:rPr>
          <w:rFonts w:cs="Arial"/>
          <w:color w:val="auto"/>
          <w:sz w:val="20"/>
          <w:szCs w:val="20"/>
          <w:lang w:val="cs-CZ" w:eastAsia="cs-CZ"/>
        </w:rPr>
      </w:pPr>
      <w:r w:rsidRPr="00794013">
        <w:rPr>
          <w:rFonts w:cs="Arial"/>
          <w:color w:val="auto"/>
          <w:sz w:val="20"/>
          <w:szCs w:val="20"/>
          <w:lang w:val="cs-CZ" w:eastAsia="cs-CZ"/>
        </w:rPr>
        <w:t>Ocel byla v tomto druhém transformačním období velkým poraženým, ale základní kovy si v tomto období vedly dobře. I když v roce 2024 ovlivňují poptávku po oceli problémy s domácími nemovitostmi, čínská poptávka po mědi a hliníku v tomto roce pravděpodobně vzroste o 1-2 %, respektive o 3-4 %, a to díky požadavkům transformující se ekonomiky. Jen čínská poptávka po hliníku, která přichází ze solárních elektráren, je nyní větší než celková japonská poptávka po této komoditě!</w:t>
      </w:r>
    </w:p>
    <w:p w14:paraId="3B5AB481" w14:textId="77777777" w:rsidR="00794013" w:rsidRPr="00794013" w:rsidRDefault="00794013" w:rsidP="00794013">
      <w:pPr>
        <w:pStyle w:val="FIL3Body"/>
        <w:spacing w:line="360" w:lineRule="auto"/>
        <w:jc w:val="both"/>
        <w:rPr>
          <w:rFonts w:cs="Arial"/>
          <w:color w:val="auto"/>
          <w:sz w:val="20"/>
          <w:szCs w:val="20"/>
          <w:lang w:val="cs-CZ" w:eastAsia="cs-CZ"/>
        </w:rPr>
      </w:pPr>
      <w:r w:rsidRPr="00794013">
        <w:rPr>
          <w:rFonts w:cs="Arial"/>
          <w:color w:val="auto"/>
          <w:sz w:val="20"/>
          <w:szCs w:val="20"/>
          <w:lang w:val="cs-CZ" w:eastAsia="cs-CZ"/>
        </w:rPr>
        <w:t>Poptávce po komoditách by měla prospět také modernizace zařízení a strojů – i když to nemusí být výrazná změna, rozhodně to pomůže, zejména u komodit, kde jsou současné podmínky napjaté. A to je zásadní bod – očekáváme, že čínské stimuly budou méně zaměřené na komodity než v minulosti, ale pro některé komodity jsou relevantnější. Navíc přicházejí v době, kdy nabídka některých komodit již byla v omezená, což vytváří sice silnou, ale pro rozličné komodity různou míru podpory.</w:t>
      </w:r>
    </w:p>
    <w:p w14:paraId="03AFBFFF" w14:textId="643B9EFF" w:rsidR="001D4CF8" w:rsidRPr="00794013" w:rsidRDefault="00794013" w:rsidP="00794013">
      <w:pPr>
        <w:pStyle w:val="FIL3Body"/>
        <w:spacing w:before="0" w:after="0" w:line="360" w:lineRule="auto"/>
        <w:jc w:val="both"/>
        <w:rPr>
          <w:rFonts w:cs="Arial"/>
          <w:color w:val="auto"/>
          <w:sz w:val="20"/>
          <w:szCs w:val="20"/>
          <w:lang w:val="cs-CZ" w:eastAsia="cs-CZ"/>
        </w:rPr>
      </w:pPr>
      <w:r w:rsidRPr="00794013">
        <w:rPr>
          <w:rFonts w:cs="Arial"/>
          <w:color w:val="auto"/>
          <w:sz w:val="20"/>
          <w:szCs w:val="20"/>
          <w:lang w:val="cs-CZ" w:eastAsia="cs-CZ"/>
        </w:rPr>
        <w:t>V posledních několika měsících došlo k několika pozoruhodným prohlášením, kterým ale nebyla věnována velká pozornost, nicméně ta ukazují, jaké mají čínští politici ambice. Návrh na společné využívání 10 % uhelných elektráren pro zelený čpavek a biomasu znamená zajištění takové kapacity zeleného čpavku, jaká bude výrazně větší, než je podle našich předpokladů celá světová produkce čpavku. S tím související infrastrukturní problémy budou také pravděpodobně náročné na komodity. Tím se vracíme ke skutečnosti, že trhy, na které má transformace dopad, jsou velmi odlišné od těch v předchozích cyklech a současně jsou mnohem širší, než se běžně předpokládá.</w:t>
      </w:r>
    </w:p>
    <w:p w14:paraId="318E403C" w14:textId="77777777" w:rsidR="001D4CF8" w:rsidRDefault="001D4CF8" w:rsidP="001D4CF8">
      <w:pPr>
        <w:pStyle w:val="FIL3Body"/>
        <w:spacing w:line="360" w:lineRule="auto"/>
        <w:jc w:val="both"/>
        <w:rPr>
          <w:rFonts w:cs="Arial"/>
          <w:color w:val="20242B"/>
          <w:sz w:val="20"/>
          <w:szCs w:val="20"/>
          <w:shd w:val="clear" w:color="auto" w:fill="FFFFFF"/>
          <w:lang w:val="cs-CZ" w:eastAsia="cs-CZ"/>
        </w:rPr>
      </w:pPr>
    </w:p>
    <w:p w14:paraId="54893CE3" w14:textId="7A6EEF27" w:rsidR="008A2C50" w:rsidRDefault="00794013" w:rsidP="001D4CF8">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t>Ocel: Existují lepší způsoby, jak se vystavit čínským stimulům</w:t>
      </w:r>
    </w:p>
    <w:p w14:paraId="4DD9C07A" w14:textId="77777777" w:rsidR="00794013" w:rsidRPr="00794013" w:rsidRDefault="00794013" w:rsidP="00794013">
      <w:pPr>
        <w:pStyle w:val="FIL3Body"/>
        <w:spacing w:line="360" w:lineRule="auto"/>
        <w:jc w:val="both"/>
        <w:rPr>
          <w:rFonts w:cs="Arial"/>
          <w:color w:val="auto"/>
          <w:sz w:val="20"/>
          <w:szCs w:val="20"/>
          <w:lang w:val="cs-CZ" w:eastAsia="cs-CZ"/>
        </w:rPr>
      </w:pPr>
      <w:r w:rsidRPr="00794013">
        <w:rPr>
          <w:rFonts w:cs="Arial"/>
          <w:color w:val="auto"/>
          <w:sz w:val="20"/>
          <w:szCs w:val="20"/>
          <w:lang w:val="cs-CZ" w:eastAsia="cs-CZ"/>
        </w:rPr>
        <w:t xml:space="preserve">Z opatření na straně poptávky bude pravděpodobně těžit i poptávka po oceli. V této fázi není jasné, jaká opatření budou zavedena v oblasti nemovitostí, ale stabilizace trhu by měla přinejmenším podepřít poptávku po oceli ze strany stavebního sektoru a možná být „malým podpůrným větříkem“ ve střednědobém horizontu. Kromě toho bude poptávce po oceli prospívat politika týkající se strojů/zařízení a hospodářské transformace. Domníváme se však, že ocel je špatnou cestou, jak využívat čínské </w:t>
      </w:r>
      <w:r w:rsidRPr="00794013">
        <w:rPr>
          <w:rFonts w:cs="Arial"/>
          <w:color w:val="auto"/>
          <w:sz w:val="20"/>
          <w:szCs w:val="20"/>
          <w:lang w:val="cs-CZ" w:eastAsia="cs-CZ"/>
        </w:rPr>
        <w:lastRenderedPageBreak/>
        <w:t>stimuly, protože v čínském ocelářském průmyslu se vytvořila dost nadbytečná kapacita. Navzdory poklesu poptávky po nemovitostech je čínská výroba surové oceli odolná.</w:t>
      </w:r>
    </w:p>
    <w:p w14:paraId="37FF2D64" w14:textId="355B5788" w:rsidR="001D4CF8" w:rsidRPr="001D4CF8" w:rsidRDefault="00794013" w:rsidP="001D4CF8">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t>Graf 2: Čínská výroba surové oceli</w:t>
      </w:r>
    </w:p>
    <w:p w14:paraId="14CDDBC7" w14:textId="77777777" w:rsidR="00794013" w:rsidRDefault="00794013" w:rsidP="001D4CF8">
      <w:pPr>
        <w:pStyle w:val="FIL3Body"/>
        <w:spacing w:line="360" w:lineRule="auto"/>
        <w:jc w:val="both"/>
        <w:rPr>
          <w:rFonts w:cs="Arial"/>
          <w:color w:val="20242B"/>
          <w:sz w:val="20"/>
          <w:szCs w:val="20"/>
          <w:shd w:val="clear" w:color="auto" w:fill="FFFFFF"/>
          <w:lang w:val="cs-CZ" w:eastAsia="cs-CZ"/>
        </w:rPr>
      </w:pPr>
      <w:r>
        <w:rPr>
          <w:noProof/>
        </w:rPr>
        <w:drawing>
          <wp:inline distT="0" distB="0" distL="0" distR="0" wp14:anchorId="066CBC5D" wp14:editId="0C6D99F2">
            <wp:extent cx="5759450" cy="2107800"/>
            <wp:effectExtent l="0" t="0" r="0" b="6985"/>
            <wp:docPr id="448274287" name="Chart 1">
              <a:extLst xmlns:a="http://schemas.openxmlformats.org/drawingml/2006/main">
                <a:ext uri="{FF2B5EF4-FFF2-40B4-BE49-F238E27FC236}">
                  <a16:creationId xmlns:a16="http://schemas.microsoft.com/office/drawing/2014/main" id="{D5E29A59-0157-90E9-028B-512F492C62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46B2ED" w14:textId="692A5924" w:rsidR="00794013" w:rsidRPr="00794013" w:rsidRDefault="00794013" w:rsidP="00794013">
      <w:pPr>
        <w:pStyle w:val="FIL3Body"/>
        <w:spacing w:after="80"/>
        <w:jc w:val="right"/>
        <w:rPr>
          <w:rFonts w:cs="Arial"/>
          <w:color w:val="auto"/>
          <w:sz w:val="16"/>
          <w:szCs w:val="16"/>
          <w:lang w:val="cs-CZ" w:eastAsia="cs-CZ"/>
        </w:rPr>
      </w:pPr>
      <w:r w:rsidRPr="00794013">
        <w:rPr>
          <w:rFonts w:cs="Arial"/>
          <w:color w:val="auto"/>
          <w:sz w:val="16"/>
          <w:szCs w:val="16"/>
          <w:lang w:val="cs-CZ" w:eastAsia="cs-CZ"/>
        </w:rPr>
        <w:t xml:space="preserve">Zdroj: BMO </w:t>
      </w:r>
      <w:proofErr w:type="spellStart"/>
      <w:r w:rsidRPr="00794013">
        <w:rPr>
          <w:rFonts w:cs="Arial"/>
          <w:color w:val="auto"/>
          <w:sz w:val="16"/>
          <w:szCs w:val="16"/>
          <w:lang w:val="cs-CZ" w:eastAsia="cs-CZ"/>
        </w:rPr>
        <w:t>Global</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Commodities</w:t>
      </w:r>
      <w:proofErr w:type="spellEnd"/>
      <w:r w:rsidRPr="00794013">
        <w:rPr>
          <w:rFonts w:cs="Arial"/>
          <w:color w:val="auto"/>
          <w:sz w:val="16"/>
          <w:szCs w:val="16"/>
          <w:lang w:val="cs-CZ" w:eastAsia="cs-CZ"/>
        </w:rPr>
        <w:t xml:space="preserve"> </w:t>
      </w:r>
      <w:proofErr w:type="spellStart"/>
      <w:r w:rsidRPr="00794013">
        <w:rPr>
          <w:rFonts w:cs="Arial"/>
          <w:color w:val="auto"/>
          <w:sz w:val="16"/>
          <w:szCs w:val="16"/>
          <w:lang w:val="cs-CZ" w:eastAsia="cs-CZ"/>
        </w:rPr>
        <w:t>Research</w:t>
      </w:r>
      <w:proofErr w:type="spellEnd"/>
      <w:r w:rsidRPr="00794013">
        <w:rPr>
          <w:rFonts w:cs="Arial"/>
          <w:color w:val="auto"/>
          <w:sz w:val="16"/>
          <w:szCs w:val="16"/>
          <w:lang w:val="cs-CZ" w:eastAsia="cs-CZ"/>
        </w:rPr>
        <w:t>, 20</w:t>
      </w:r>
      <w:r w:rsidR="00FE4EFF">
        <w:rPr>
          <w:rFonts w:cs="Arial"/>
          <w:color w:val="auto"/>
          <w:sz w:val="16"/>
          <w:szCs w:val="16"/>
          <w:lang w:val="cs-CZ" w:eastAsia="cs-CZ"/>
        </w:rPr>
        <w:t>.</w:t>
      </w:r>
      <w:r w:rsidRPr="00794013">
        <w:rPr>
          <w:rFonts w:cs="Arial"/>
          <w:color w:val="auto"/>
          <w:sz w:val="16"/>
          <w:szCs w:val="16"/>
          <w:lang w:val="cs-CZ" w:eastAsia="cs-CZ"/>
        </w:rPr>
        <w:t xml:space="preserve"> srpen 2024.</w:t>
      </w:r>
    </w:p>
    <w:p w14:paraId="358702EE" w14:textId="77777777" w:rsidR="00794013" w:rsidRDefault="00794013" w:rsidP="001D4CF8">
      <w:pPr>
        <w:pStyle w:val="FIL3Body"/>
        <w:spacing w:line="360" w:lineRule="auto"/>
        <w:jc w:val="both"/>
        <w:rPr>
          <w:rFonts w:cs="Arial"/>
          <w:color w:val="20242B"/>
          <w:sz w:val="20"/>
          <w:szCs w:val="20"/>
          <w:shd w:val="clear" w:color="auto" w:fill="FFFFFF"/>
          <w:lang w:eastAsia="cs-CZ"/>
        </w:rPr>
      </w:pPr>
    </w:p>
    <w:p w14:paraId="3803C164" w14:textId="4086413C" w:rsidR="00794013" w:rsidRPr="00794013" w:rsidRDefault="00794013" w:rsidP="00794013">
      <w:pPr>
        <w:pStyle w:val="FIL3Body"/>
        <w:spacing w:after="80" w:line="360" w:lineRule="auto"/>
        <w:jc w:val="both"/>
        <w:rPr>
          <w:rFonts w:cs="Arial"/>
          <w:color w:val="20242B"/>
          <w:sz w:val="20"/>
          <w:szCs w:val="20"/>
          <w:shd w:val="clear" w:color="auto" w:fill="FFFFFF"/>
          <w:lang w:val="cs-CZ" w:eastAsia="cs-CZ"/>
        </w:rPr>
      </w:pPr>
      <w:r w:rsidRPr="00794013">
        <w:rPr>
          <w:rFonts w:cs="Arial"/>
          <w:color w:val="20242B"/>
          <w:sz w:val="20"/>
          <w:szCs w:val="20"/>
          <w:shd w:val="clear" w:color="auto" w:fill="FFFFFF"/>
          <w:lang w:val="cs-CZ" w:eastAsia="cs-CZ"/>
        </w:rPr>
        <w:t xml:space="preserve">Důvodem této odolnosti je skutečnost, že přebytečné tuny oceli jsou vyváženy a kazí jiné trhy. Jak ukazuje graf 2, vývoz v posledních 18-24 měsících výrazně vzrostl. To vede k dnešní situaci, kdy předseda největšího světového výrobce oceli </w:t>
      </w:r>
      <w:proofErr w:type="spellStart"/>
      <w:r w:rsidRPr="00794013">
        <w:rPr>
          <w:rFonts w:cs="Arial"/>
          <w:color w:val="20242B"/>
          <w:sz w:val="20"/>
          <w:szCs w:val="20"/>
          <w:shd w:val="clear" w:color="auto" w:fill="FFFFFF"/>
          <w:lang w:val="cs-CZ" w:eastAsia="cs-CZ"/>
        </w:rPr>
        <w:t>Baowu</w:t>
      </w:r>
      <w:proofErr w:type="spellEnd"/>
      <w:r w:rsidRPr="00794013">
        <w:rPr>
          <w:rFonts w:cs="Arial"/>
          <w:color w:val="20242B"/>
          <w:sz w:val="20"/>
          <w:szCs w:val="20"/>
          <w:shd w:val="clear" w:color="auto" w:fill="FFFFFF"/>
          <w:lang w:val="cs-CZ" w:eastAsia="cs-CZ"/>
        </w:rPr>
        <w:t xml:space="preserve"> nedávno hovořil o „kruté zimě“ pro čínský ocelářský průmysl, která bude „delší, chladnější a obtížněji snesitelná, než se očekávalo“</w:t>
      </w:r>
      <w:r w:rsidR="00673018">
        <w:rPr>
          <w:rFonts w:cs="Arial"/>
          <w:color w:val="20242B"/>
          <w:sz w:val="20"/>
          <w:szCs w:val="20"/>
          <w:shd w:val="clear" w:color="auto" w:fill="FFFFFF"/>
          <w:lang w:val="cs-CZ" w:eastAsia="cs-CZ"/>
        </w:rPr>
        <w:t>.</w:t>
      </w:r>
    </w:p>
    <w:p w14:paraId="64254706" w14:textId="2347BB3B" w:rsidR="00794013" w:rsidRPr="001D4CF8" w:rsidRDefault="00794013" w:rsidP="00794013">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t>Graf 3: Vývoz oceli z Číny (v tunách za měsíc)</w:t>
      </w:r>
    </w:p>
    <w:p w14:paraId="40CB7367" w14:textId="1DD400AB" w:rsidR="00794013" w:rsidRPr="00673018" w:rsidRDefault="00794013" w:rsidP="00794013">
      <w:pPr>
        <w:pStyle w:val="FIL3Body"/>
        <w:jc w:val="right"/>
        <w:rPr>
          <w:sz w:val="15"/>
          <w:szCs w:val="15"/>
          <w:lang w:val="cs-CZ"/>
        </w:rPr>
      </w:pPr>
      <w:r>
        <w:rPr>
          <w:noProof/>
        </w:rPr>
        <w:drawing>
          <wp:inline distT="0" distB="0" distL="0" distR="0" wp14:anchorId="3150EABE" wp14:editId="20D84518">
            <wp:extent cx="5759450" cy="2210273"/>
            <wp:effectExtent l="0" t="0" r="0" b="0"/>
            <wp:docPr id="1020627402" name="Chart 1">
              <a:extLst xmlns:a="http://schemas.openxmlformats.org/drawingml/2006/main">
                <a:ext uri="{FF2B5EF4-FFF2-40B4-BE49-F238E27FC236}">
                  <a16:creationId xmlns:a16="http://schemas.microsoft.com/office/drawing/2014/main" id="{175258A7-485B-2049-23EA-AB6A274208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73018">
        <w:rPr>
          <w:sz w:val="15"/>
          <w:szCs w:val="15"/>
          <w:lang w:val="cs-CZ"/>
        </w:rPr>
        <w:t xml:space="preserve"> </w:t>
      </w:r>
      <w:r w:rsidRPr="00794013">
        <w:rPr>
          <w:rFonts w:cs="Arial"/>
          <w:color w:val="auto"/>
          <w:sz w:val="16"/>
          <w:szCs w:val="16"/>
          <w:lang w:val="cs-CZ" w:eastAsia="cs-CZ"/>
        </w:rPr>
        <w:t xml:space="preserve">Zdroj: </w:t>
      </w:r>
      <w:proofErr w:type="spellStart"/>
      <w:r w:rsidRPr="00794013">
        <w:rPr>
          <w:rFonts w:cs="Arial"/>
          <w:color w:val="auto"/>
          <w:sz w:val="16"/>
          <w:szCs w:val="16"/>
          <w:lang w:val="cs-CZ" w:eastAsia="cs-CZ"/>
        </w:rPr>
        <w:t>Fidelity</w:t>
      </w:r>
      <w:proofErr w:type="spellEnd"/>
      <w:r w:rsidRPr="00794013">
        <w:rPr>
          <w:rFonts w:cs="Arial"/>
          <w:color w:val="auto"/>
          <w:sz w:val="16"/>
          <w:szCs w:val="16"/>
          <w:lang w:val="cs-CZ" w:eastAsia="cs-CZ"/>
        </w:rPr>
        <w:t xml:space="preserve"> International, 31</w:t>
      </w:r>
      <w:r w:rsidR="00FE4EFF">
        <w:rPr>
          <w:rFonts w:cs="Arial"/>
          <w:color w:val="auto"/>
          <w:sz w:val="16"/>
          <w:szCs w:val="16"/>
          <w:lang w:val="cs-CZ" w:eastAsia="cs-CZ"/>
        </w:rPr>
        <w:t>.</w:t>
      </w:r>
      <w:r w:rsidRPr="00794013">
        <w:rPr>
          <w:rFonts w:cs="Arial"/>
          <w:color w:val="auto"/>
          <w:sz w:val="16"/>
          <w:szCs w:val="16"/>
          <w:lang w:val="cs-CZ" w:eastAsia="cs-CZ"/>
        </w:rPr>
        <w:t xml:space="preserve"> srpen 2024.</w:t>
      </w:r>
      <w:r w:rsidRPr="00673018">
        <w:rPr>
          <w:sz w:val="15"/>
          <w:szCs w:val="15"/>
          <w:lang w:val="cs-CZ"/>
        </w:rPr>
        <w:t xml:space="preserve"> </w:t>
      </w:r>
    </w:p>
    <w:p w14:paraId="40D2B01D" w14:textId="77777777" w:rsidR="00794013" w:rsidRPr="00794013" w:rsidRDefault="00794013" w:rsidP="00794013">
      <w:pPr>
        <w:pStyle w:val="FIL3Body"/>
        <w:spacing w:line="360" w:lineRule="auto"/>
        <w:jc w:val="both"/>
        <w:rPr>
          <w:rFonts w:cs="Arial"/>
          <w:color w:val="20242B"/>
          <w:sz w:val="20"/>
          <w:szCs w:val="20"/>
          <w:shd w:val="clear" w:color="auto" w:fill="FFFFFF"/>
          <w:lang w:val="cs-CZ" w:eastAsia="cs-CZ"/>
        </w:rPr>
      </w:pPr>
      <w:r w:rsidRPr="00794013">
        <w:rPr>
          <w:rFonts w:cs="Arial"/>
          <w:color w:val="20242B"/>
          <w:sz w:val="20"/>
          <w:szCs w:val="20"/>
          <w:shd w:val="clear" w:color="auto" w:fill="FFFFFF"/>
          <w:lang w:val="cs-CZ" w:eastAsia="cs-CZ"/>
        </w:rPr>
        <w:t xml:space="preserve">Domníváme se, že domácí poptávka po oceli se zlepší, což sníží objem tun vstupujících na vývozní trh a Čína nebude muset zvyšovat produkci. Domníváme se, že je pravděpodobné, že čínský ocelářský průmysl bude čelit strukturálnímu nadbytku kapacit dokud, nebo pokud nepřijme druhé kolo reformy na straně nabídky. To by bylo pro ocel pozitivní a umožnilo by to výrobcům oceli generovat zisky; je však zřejmé, že reforma na straně nabídky a strukturálně menší čínský ocelářský průmysl je pro jeho dodavatele, řetězec výroby železné rudy a oceli smíšenou zprávou.  </w:t>
      </w:r>
    </w:p>
    <w:p w14:paraId="5902A867" w14:textId="77777777" w:rsidR="00794013" w:rsidRDefault="00794013" w:rsidP="00896FD1">
      <w:pPr>
        <w:pStyle w:val="FIL3Body"/>
        <w:spacing w:line="360" w:lineRule="auto"/>
        <w:jc w:val="both"/>
        <w:rPr>
          <w:rFonts w:cs="Arial"/>
          <w:color w:val="20242B"/>
          <w:sz w:val="20"/>
          <w:szCs w:val="20"/>
          <w:shd w:val="clear" w:color="auto" w:fill="FFFFFF"/>
          <w:lang w:val="cs-CZ" w:eastAsia="cs-CZ"/>
        </w:rPr>
      </w:pPr>
      <w:r w:rsidRPr="00794013">
        <w:rPr>
          <w:rFonts w:cs="Arial"/>
          <w:color w:val="20242B"/>
          <w:sz w:val="20"/>
          <w:szCs w:val="20"/>
          <w:shd w:val="clear" w:color="auto" w:fill="FFFFFF"/>
          <w:lang w:val="cs-CZ" w:eastAsia="cs-CZ"/>
        </w:rPr>
        <w:lastRenderedPageBreak/>
        <w:t>Čína spotřebovává přibližně 75 % železné rudy, která by šla vyvážet – v míře, v jaké klesá vývoz, to může vytvořit větší poptávku v jiných zeměpisných oblastech a mělo by to do jisté míry pomoci globálnímu stanovování cen oceli. Přesun poptávky z Číny do zemí s odlišnou skladbou výroby oceli by potenciálně omezil přínosy pro celkovou poptávku po železné rudě. A to nepočítáme dopady na straně nabídky, kde je na nákladové křivce mezi 90 a 100 dolary dostatek elastické nabídky železné rudy, což omezuje růst pro investory do oceli. Reaktivní svalová paměť investorů může sahat k „kupujte ocel, kupujte železnou rudu“, ale domníváme se, že skutečnými příjemci čínských stimulů jsou základní kovy a další materiály.</w:t>
      </w:r>
    </w:p>
    <w:p w14:paraId="66D5F04D" w14:textId="56034AD0" w:rsidR="00896FD1" w:rsidRPr="00794013" w:rsidRDefault="00794013" w:rsidP="00896FD1">
      <w:pPr>
        <w:pStyle w:val="FIL3Body"/>
        <w:spacing w:line="360" w:lineRule="auto"/>
        <w:jc w:val="both"/>
        <w:rPr>
          <w:rFonts w:cs="Arial"/>
          <w:color w:val="20242B"/>
          <w:sz w:val="20"/>
          <w:szCs w:val="20"/>
          <w:shd w:val="clear" w:color="auto" w:fill="FFFFFF"/>
          <w:lang w:val="cs-CZ" w:eastAsia="cs-CZ"/>
        </w:rPr>
      </w:pPr>
      <w:r>
        <w:rPr>
          <w:rFonts w:cs="Arial"/>
          <w:b/>
          <w:bCs/>
          <w:color w:val="20242B"/>
          <w:sz w:val="20"/>
          <w:szCs w:val="20"/>
          <w:shd w:val="clear" w:color="auto" w:fill="FFFFFF"/>
          <w:lang w:val="cs-CZ" w:eastAsia="cs-CZ"/>
        </w:rPr>
        <w:t>Expozice vůči komoditním indexům pravděpodobně nepřinese nejlepší investiční výsledky</w:t>
      </w:r>
    </w:p>
    <w:p w14:paraId="24C671CC" w14:textId="77777777" w:rsidR="00794013" w:rsidRDefault="00794013" w:rsidP="00794013">
      <w:pPr>
        <w:pStyle w:val="FIL3Body"/>
        <w:spacing w:before="120" w:line="360" w:lineRule="auto"/>
        <w:jc w:val="both"/>
        <w:rPr>
          <w:rFonts w:cs="Arial"/>
          <w:color w:val="20242B"/>
          <w:sz w:val="20"/>
          <w:szCs w:val="20"/>
          <w:shd w:val="clear" w:color="auto" w:fill="FFFFFF"/>
          <w:lang w:val="cs-CZ" w:eastAsia="cs-CZ"/>
        </w:rPr>
      </w:pPr>
      <w:r w:rsidRPr="00794013">
        <w:rPr>
          <w:rFonts w:cs="Arial"/>
          <w:color w:val="20242B"/>
          <w:sz w:val="20"/>
          <w:szCs w:val="20"/>
          <w:shd w:val="clear" w:color="auto" w:fill="FFFFFF"/>
          <w:lang w:val="cs-CZ" w:eastAsia="cs-CZ"/>
        </w:rPr>
        <w:t xml:space="preserve">Bohužel mnoho nejjednodušších způsobů, jak oživit čínskou poptávku po komoditách, neodráží strukturální změny. Ve skutečnosti jsou mnohé z nich vychýleny směrem k vítězům ze „starého světa“, a nikoli k oblastem, které budou v budoucnu pravděpodobně hlavními příjemci. Například deset hlavních složek indexu MSCI ACWI Metals &amp; </w:t>
      </w:r>
      <w:proofErr w:type="spellStart"/>
      <w:r w:rsidRPr="00794013">
        <w:rPr>
          <w:rFonts w:cs="Arial"/>
          <w:color w:val="20242B"/>
          <w:sz w:val="20"/>
          <w:szCs w:val="20"/>
          <w:shd w:val="clear" w:color="auto" w:fill="FFFFFF"/>
          <w:lang w:val="cs-CZ" w:eastAsia="cs-CZ"/>
        </w:rPr>
        <w:t>Mining</w:t>
      </w:r>
      <w:proofErr w:type="spellEnd"/>
      <w:r w:rsidRPr="00794013">
        <w:rPr>
          <w:rFonts w:cs="Arial"/>
          <w:color w:val="20242B"/>
          <w:sz w:val="20"/>
          <w:szCs w:val="20"/>
          <w:shd w:val="clear" w:color="auto" w:fill="FFFFFF"/>
          <w:lang w:val="cs-CZ" w:eastAsia="cs-CZ"/>
        </w:rPr>
        <w:t xml:space="preserve"> tvoří více než 50 % indexu, avšak pouze tři z nich (12 % indexu) jsou v souladu s transformací, která podle našeho názoru bude dlouhodobě stimulovat poptávku po komoditách.   </w:t>
      </w:r>
    </w:p>
    <w:p w14:paraId="03B420B0" w14:textId="30CCC9D0" w:rsidR="006C3B12" w:rsidRPr="00794013" w:rsidRDefault="00794013" w:rsidP="00794013">
      <w:pPr>
        <w:pStyle w:val="FIL3Body"/>
        <w:spacing w:before="120" w:line="360" w:lineRule="auto"/>
        <w:jc w:val="both"/>
        <w:rPr>
          <w:rFonts w:cs="Arial"/>
          <w:color w:val="20242B"/>
          <w:sz w:val="20"/>
          <w:szCs w:val="20"/>
          <w:shd w:val="clear" w:color="auto" w:fill="FFFFFF"/>
          <w:lang w:val="cs-CZ" w:eastAsia="cs-CZ"/>
        </w:rPr>
      </w:pPr>
      <w:r>
        <w:rPr>
          <w:rFonts w:cs="Arial"/>
          <w:b/>
          <w:bCs/>
          <w:color w:val="20242B"/>
          <w:sz w:val="20"/>
          <w:szCs w:val="20"/>
          <w:shd w:val="clear" w:color="auto" w:fill="FFFFFF"/>
          <w:lang w:val="cs-CZ" w:eastAsia="cs-CZ"/>
        </w:rPr>
        <w:br/>
        <w:t xml:space="preserve">Obrázek 1: </w:t>
      </w:r>
      <w:r w:rsidRPr="00794013">
        <w:rPr>
          <w:rFonts w:cs="Arial"/>
          <w:b/>
          <w:bCs/>
          <w:color w:val="20242B"/>
          <w:sz w:val="20"/>
          <w:szCs w:val="20"/>
          <w:shd w:val="clear" w:color="auto" w:fill="FFFFFF"/>
          <w:lang w:val="cs-CZ" w:eastAsia="cs-CZ"/>
        </w:rPr>
        <w:t xml:space="preserve">10 hlavních složek indexu MSCI ACWI Metals &amp; </w:t>
      </w:r>
      <w:proofErr w:type="spellStart"/>
      <w:r w:rsidRPr="00794013">
        <w:rPr>
          <w:rFonts w:cs="Arial"/>
          <w:b/>
          <w:bCs/>
          <w:color w:val="20242B"/>
          <w:sz w:val="20"/>
          <w:szCs w:val="20"/>
          <w:shd w:val="clear" w:color="auto" w:fill="FFFFFF"/>
          <w:lang w:val="cs-CZ" w:eastAsia="cs-CZ"/>
        </w:rPr>
        <w:t>Mining</w:t>
      </w:r>
      <w:proofErr w:type="spellEnd"/>
    </w:p>
    <w:p w14:paraId="752811FF" w14:textId="25232E5E" w:rsidR="001D4CF8" w:rsidRPr="001D4CF8" w:rsidRDefault="00794013" w:rsidP="00794013">
      <w:pPr>
        <w:pStyle w:val="F2-zkladn"/>
        <w:spacing w:line="360" w:lineRule="auto"/>
      </w:pPr>
      <w:r>
        <w:rPr>
          <w:noProof/>
        </w:rPr>
        <w:drawing>
          <wp:inline distT="0" distB="0" distL="0" distR="0" wp14:anchorId="6A72BFD6" wp14:editId="3A8F43A7">
            <wp:extent cx="5759450" cy="1988168"/>
            <wp:effectExtent l="0" t="0" r="0" b="0"/>
            <wp:docPr id="487232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32452" name=""/>
                    <pic:cNvPicPr/>
                  </pic:nvPicPr>
                  <pic:blipFill>
                    <a:blip r:embed="rId15"/>
                    <a:stretch>
                      <a:fillRect/>
                    </a:stretch>
                  </pic:blipFill>
                  <pic:spPr>
                    <a:xfrm>
                      <a:off x="0" y="0"/>
                      <a:ext cx="5759450" cy="1988168"/>
                    </a:xfrm>
                    <a:prstGeom prst="rect">
                      <a:avLst/>
                    </a:prstGeom>
                  </pic:spPr>
                </pic:pic>
              </a:graphicData>
            </a:graphic>
          </wp:inline>
        </w:drawing>
      </w:r>
    </w:p>
    <w:p w14:paraId="46C35988" w14:textId="18AA9CB0" w:rsidR="00043963" w:rsidRPr="00043963" w:rsidRDefault="00043963" w:rsidP="00043963">
      <w:pPr>
        <w:pStyle w:val="FIL3Body"/>
        <w:rPr>
          <w:rFonts w:cs="Arial"/>
          <w:color w:val="auto"/>
          <w:sz w:val="16"/>
          <w:szCs w:val="16"/>
          <w:lang w:val="cs-CZ" w:eastAsia="cs-CZ"/>
        </w:rPr>
      </w:pPr>
      <w:r w:rsidRPr="00043963">
        <w:rPr>
          <w:rFonts w:cs="Arial"/>
          <w:color w:val="auto"/>
          <w:sz w:val="16"/>
          <w:szCs w:val="16"/>
          <w:lang w:val="cs-CZ" w:eastAsia="cs-CZ"/>
        </w:rPr>
        <w:t>Zdroj: Fidelity International, 08</w:t>
      </w:r>
      <w:r w:rsidR="00FE4EFF">
        <w:rPr>
          <w:rFonts w:cs="Arial"/>
          <w:color w:val="auto"/>
          <w:sz w:val="16"/>
          <w:szCs w:val="16"/>
          <w:lang w:val="cs-CZ" w:eastAsia="cs-CZ"/>
        </w:rPr>
        <w:t>.</w:t>
      </w:r>
      <w:r w:rsidRPr="00043963">
        <w:rPr>
          <w:rFonts w:cs="Arial"/>
          <w:color w:val="auto"/>
          <w:sz w:val="16"/>
          <w:szCs w:val="16"/>
          <w:lang w:val="cs-CZ" w:eastAsia="cs-CZ"/>
        </w:rPr>
        <w:t xml:space="preserve"> říjen 2024. Odkaz na konkrétní cenné papíry si nelze vykládat jako doporučení k nákupu nebo prodeji těchto cenných papírů a je uveden pouze pro ilustraci.</w:t>
      </w:r>
    </w:p>
    <w:p w14:paraId="6272CC5C" w14:textId="77777777" w:rsidR="00043963" w:rsidRDefault="00043963" w:rsidP="00043963">
      <w:pPr>
        <w:pStyle w:val="FIL3Body"/>
        <w:rPr>
          <w:lang w:val="cs-CZ"/>
        </w:rPr>
      </w:pPr>
    </w:p>
    <w:p w14:paraId="5D9B58AE" w14:textId="69D66F25" w:rsidR="00043963" w:rsidRPr="00043963" w:rsidRDefault="00043963" w:rsidP="00043963">
      <w:pPr>
        <w:pStyle w:val="FIL3Body"/>
        <w:spacing w:line="360" w:lineRule="auto"/>
        <w:jc w:val="both"/>
        <w:rPr>
          <w:rFonts w:cs="Arial"/>
          <w:color w:val="20242B"/>
          <w:sz w:val="20"/>
          <w:szCs w:val="20"/>
          <w:shd w:val="clear" w:color="auto" w:fill="FFFFFF"/>
          <w:lang w:val="cs-CZ" w:eastAsia="cs-CZ"/>
        </w:rPr>
      </w:pPr>
      <w:r w:rsidRPr="00043963">
        <w:rPr>
          <w:rFonts w:cs="Arial"/>
          <w:color w:val="20242B"/>
          <w:sz w:val="20"/>
          <w:szCs w:val="20"/>
          <w:shd w:val="clear" w:color="auto" w:fill="FFFFFF"/>
          <w:lang w:val="cs-CZ" w:eastAsia="cs-CZ"/>
        </w:rPr>
        <w:t>Investování do transformující se ekonomiky je příležitostí, která je dlouhodobá a vyžaduje hlubokou znalost nuancí komoditních trhů a specifických profilů společností, které na nich působí. V praxi to znamená, že pouhé sázení na to, které komodity nakonec zvítězí, téměř jistě investory zklame a nepřinese očekávané výsledky. Obě strany rovnice tržních cen vyžadují důkladný průzkum; poptávku je důležité přesně a dynamicky odhadnout, ale často je opomíjena schopnost nové nabídky tuto poptávku uspokojit, ačkoliv je to nedílnou součástí rovnice.</w:t>
      </w:r>
    </w:p>
    <w:p w14:paraId="73805516" w14:textId="77777777" w:rsidR="00043963" w:rsidRPr="00043963" w:rsidRDefault="00043963" w:rsidP="00043963">
      <w:pPr>
        <w:pStyle w:val="FIL3Body"/>
        <w:spacing w:line="360" w:lineRule="auto"/>
        <w:jc w:val="both"/>
        <w:rPr>
          <w:rFonts w:cs="Arial"/>
          <w:color w:val="20242B"/>
          <w:sz w:val="20"/>
          <w:szCs w:val="20"/>
          <w:shd w:val="clear" w:color="auto" w:fill="FFFFFF"/>
          <w:lang w:val="cs-CZ" w:eastAsia="cs-CZ"/>
        </w:rPr>
      </w:pPr>
      <w:r w:rsidRPr="00043963">
        <w:rPr>
          <w:rFonts w:cs="Arial"/>
          <w:color w:val="20242B"/>
          <w:sz w:val="20"/>
          <w:szCs w:val="20"/>
          <w:shd w:val="clear" w:color="auto" w:fill="FFFFFF"/>
          <w:lang w:val="cs-CZ" w:eastAsia="cs-CZ"/>
        </w:rPr>
        <w:t xml:space="preserve">Chceme-li těžit z dlouhodobých makro trendů probíhajících na komoditních trzích, je nezbytné pochopit mikro detaily a porozumět podnikání každého výrobce v jeho dnešní podobě, nikoliv v zastaralé verzi na tomto vyvíjejícím se trhu. Investoři by měli bedlivě sledovat nejbližší období a jasně chápat základní </w:t>
      </w:r>
      <w:r w:rsidRPr="00043963">
        <w:rPr>
          <w:rFonts w:cs="Arial"/>
          <w:color w:val="20242B"/>
          <w:sz w:val="20"/>
          <w:szCs w:val="20"/>
          <w:shd w:val="clear" w:color="auto" w:fill="FFFFFF"/>
          <w:lang w:val="cs-CZ" w:eastAsia="cs-CZ"/>
        </w:rPr>
        <w:lastRenderedPageBreak/>
        <w:t>data o komoditních trzích a podnicích, aby se nenechali příliš ovlivnit přesvědčivým příběhem o růstu, který by mohl vést k nákladným investičním rozhodnutím. Poptávka je důležitá, ale často se opomíjí schopnost nové nabídky tuto poptávku uspokojit, která je stejně důležitá – ne-li důležitější.</w:t>
      </w:r>
    </w:p>
    <w:p w14:paraId="1916E936" w14:textId="77777777" w:rsidR="001D4CF8" w:rsidRPr="006C3B12" w:rsidRDefault="001D4CF8" w:rsidP="006C3B12">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6"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w:t>
      </w:r>
      <w:r>
        <w:lastRenderedPageBreak/>
        <w:t>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7EA59B9A" w:rsidR="00D20058" w:rsidRDefault="00043963" w:rsidP="00DF76B9">
      <w:pPr>
        <w:pStyle w:val="F2-zkladn"/>
      </w:pPr>
      <w:r w:rsidRPr="00043963">
        <w:rPr>
          <w:lang w:val="de-AT"/>
        </w:rPr>
        <w:t>MKAT12574</w:t>
      </w:r>
    </w:p>
    <w:sectPr w:rsidR="00D20058" w:rsidSect="00F50497">
      <w:headerReference w:type="default" r:id="rId17"/>
      <w:footerReference w:type="default" r:id="rId18"/>
      <w:headerReference w:type="first" r:id="rId19"/>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24FE" w14:textId="77777777" w:rsidR="004B10E5" w:rsidRDefault="004B10E5">
      <w:r>
        <w:separator/>
      </w:r>
    </w:p>
  </w:endnote>
  <w:endnote w:type="continuationSeparator" w:id="0">
    <w:p w14:paraId="4874D6DC" w14:textId="77777777" w:rsidR="004B10E5" w:rsidRDefault="004B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1FDAE" w14:textId="77777777" w:rsidR="004B10E5" w:rsidRDefault="004B10E5">
      <w:r>
        <w:separator/>
      </w:r>
    </w:p>
  </w:footnote>
  <w:footnote w:type="continuationSeparator" w:id="0">
    <w:p w14:paraId="22E0B746" w14:textId="77777777" w:rsidR="004B10E5" w:rsidRDefault="004B10E5">
      <w:r>
        <w:continuationSeparator/>
      </w:r>
    </w:p>
  </w:footnote>
  <w:footnote w:type="continuationNotice" w:id="1">
    <w:p w14:paraId="3A96834B" w14:textId="77777777" w:rsidR="004B10E5" w:rsidRDefault="004B1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4F9E"/>
    <w:rsid w:val="001C5A91"/>
    <w:rsid w:val="001C5DB0"/>
    <w:rsid w:val="001C6F31"/>
    <w:rsid w:val="001D032B"/>
    <w:rsid w:val="001D0D99"/>
    <w:rsid w:val="001D1225"/>
    <w:rsid w:val="001D1343"/>
    <w:rsid w:val="001D4B56"/>
    <w:rsid w:val="001D4CF8"/>
    <w:rsid w:val="001D5163"/>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6522"/>
    <w:rsid w:val="00347B43"/>
    <w:rsid w:val="0035034F"/>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51CE"/>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0A09"/>
    <w:rsid w:val="008014EC"/>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170"/>
    <w:rsid w:val="0095420F"/>
    <w:rsid w:val="00954CC0"/>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Sheet1!$A$3:$A$26</c:f>
              <c:strCache>
                <c:ptCount val="24"/>
                <c:pt idx="0">
                  <c:v>FY00</c:v>
                </c:pt>
                <c:pt idx="1">
                  <c:v>FY01</c:v>
                </c:pt>
                <c:pt idx="2">
                  <c:v>FY02</c:v>
                </c:pt>
                <c:pt idx="3">
                  <c:v>FY03</c:v>
                </c:pt>
                <c:pt idx="4">
                  <c:v>FY04</c:v>
                </c:pt>
                <c:pt idx="5">
                  <c:v>FY05</c:v>
                </c:pt>
                <c:pt idx="6">
                  <c:v>FY06</c:v>
                </c:pt>
                <c:pt idx="7">
                  <c:v>FY07</c:v>
                </c:pt>
                <c:pt idx="8">
                  <c:v>FY08</c:v>
                </c:pt>
                <c:pt idx="9">
                  <c:v>FY09</c:v>
                </c:pt>
                <c:pt idx="10">
                  <c:v>FY10</c:v>
                </c:pt>
                <c:pt idx="11">
                  <c:v>FY11</c:v>
                </c:pt>
                <c:pt idx="12">
                  <c:v>FY12</c:v>
                </c:pt>
                <c:pt idx="13">
                  <c:v>FY13</c:v>
                </c:pt>
                <c:pt idx="14">
                  <c:v>FY14</c:v>
                </c:pt>
                <c:pt idx="15">
                  <c:v>FY15</c:v>
                </c:pt>
                <c:pt idx="16">
                  <c:v>FY16</c:v>
                </c:pt>
                <c:pt idx="17">
                  <c:v>FY17</c:v>
                </c:pt>
                <c:pt idx="18">
                  <c:v>FY18</c:v>
                </c:pt>
                <c:pt idx="19">
                  <c:v>FY19</c:v>
                </c:pt>
                <c:pt idx="20">
                  <c:v>FY20</c:v>
                </c:pt>
                <c:pt idx="21">
                  <c:v>FY21</c:v>
                </c:pt>
                <c:pt idx="22">
                  <c:v>FY22</c:v>
                </c:pt>
                <c:pt idx="23">
                  <c:v>FY23</c:v>
                </c:pt>
              </c:strCache>
            </c:strRef>
          </c:cat>
          <c:val>
            <c:numRef>
              <c:f>Sheet1!$B$3:$B$26</c:f>
              <c:numCache>
                <c:formatCode>General</c:formatCode>
                <c:ptCount val="24"/>
                <c:pt idx="0">
                  <c:v>130</c:v>
                </c:pt>
                <c:pt idx="1">
                  <c:v>152</c:v>
                </c:pt>
                <c:pt idx="2">
                  <c:v>182</c:v>
                </c:pt>
                <c:pt idx="3">
                  <c:v>222</c:v>
                </c:pt>
                <c:pt idx="4">
                  <c:v>280</c:v>
                </c:pt>
                <c:pt idx="5">
                  <c:v>354</c:v>
                </c:pt>
                <c:pt idx="6">
                  <c:v>423</c:v>
                </c:pt>
                <c:pt idx="7">
                  <c:v>495</c:v>
                </c:pt>
                <c:pt idx="8">
                  <c:v>499</c:v>
                </c:pt>
                <c:pt idx="9">
                  <c:v>569</c:v>
                </c:pt>
                <c:pt idx="10">
                  <c:v>624</c:v>
                </c:pt>
                <c:pt idx="11">
                  <c:v>684</c:v>
                </c:pt>
                <c:pt idx="12">
                  <c:v>717</c:v>
                </c:pt>
                <c:pt idx="13">
                  <c:v>801</c:v>
                </c:pt>
                <c:pt idx="14">
                  <c:v>820</c:v>
                </c:pt>
                <c:pt idx="15">
                  <c:v>810</c:v>
                </c:pt>
                <c:pt idx="16">
                  <c:v>817</c:v>
                </c:pt>
                <c:pt idx="17">
                  <c:v>876</c:v>
                </c:pt>
                <c:pt idx="18">
                  <c:v>940</c:v>
                </c:pt>
                <c:pt idx="19">
                  <c:v>993</c:v>
                </c:pt>
                <c:pt idx="20">
                  <c:v>1054</c:v>
                </c:pt>
                <c:pt idx="21">
                  <c:v>1031</c:v>
                </c:pt>
                <c:pt idx="22">
                  <c:v>1018</c:v>
                </c:pt>
                <c:pt idx="23">
                  <c:v>1029</c:v>
                </c:pt>
              </c:numCache>
            </c:numRef>
          </c:val>
          <c:extLst>
            <c:ext xmlns:c16="http://schemas.microsoft.com/office/drawing/2014/chart" uri="{C3380CC4-5D6E-409C-BE32-E72D297353CC}">
              <c16:uniqueId val="{00000000-3483-4CA4-83C6-3AF8BB2F6BC5}"/>
            </c:ext>
          </c:extLst>
        </c:ser>
        <c:dLbls>
          <c:showLegendKey val="0"/>
          <c:showVal val="0"/>
          <c:showCatName val="0"/>
          <c:showSerName val="0"/>
          <c:showPercent val="0"/>
          <c:showBubbleSize val="0"/>
        </c:dLbls>
        <c:gapWidth val="150"/>
        <c:overlap val="-27"/>
        <c:axId val="736076864"/>
        <c:axId val="736077584"/>
      </c:barChart>
      <c:catAx>
        <c:axId val="73607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36077584"/>
        <c:crosses val="autoZero"/>
        <c:auto val="1"/>
        <c:lblAlgn val="ctr"/>
        <c:lblOffset val="100"/>
        <c:noMultiLvlLbl val="0"/>
      </c:catAx>
      <c:valAx>
        <c:axId val="736077584"/>
        <c:scaling>
          <c:orientation val="minMax"/>
        </c:scaling>
        <c:delete val="0"/>
        <c:axPos val="l"/>
        <c:majorGridlines>
          <c:spPr>
            <a:ln w="3175" cap="flat" cmpd="sng" algn="ctr">
              <a:solidFill>
                <a:sysClr val="window" lastClr="FFFFFF">
                  <a:lumMod val="95000"/>
                  <a:alpha val="80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36076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Sheet1!$Q$4</c:f>
              <c:strCache>
                <c:ptCount val="1"/>
                <c:pt idx="0">
                  <c:v>Mid Price</c:v>
                </c:pt>
              </c:strCache>
            </c:strRef>
          </c:tx>
          <c:spPr>
            <a:ln w="28575" cap="rnd">
              <a:solidFill>
                <a:schemeClr val="accent1"/>
              </a:solidFill>
              <a:round/>
            </a:ln>
            <a:effectLst/>
          </c:spPr>
          <c:marker>
            <c:symbol val="none"/>
          </c:marker>
          <c:cat>
            <c:numRef>
              <c:f>Sheet1!$P$5:$P$183</c:f>
              <c:numCache>
                <c:formatCode>m/d/yyyy</c:formatCode>
                <c:ptCount val="179"/>
                <c:pt idx="0">
                  <c:v>45535</c:v>
                </c:pt>
                <c:pt idx="1">
                  <c:v>45504</c:v>
                </c:pt>
                <c:pt idx="2">
                  <c:v>45473</c:v>
                </c:pt>
                <c:pt idx="3">
                  <c:v>45443</c:v>
                </c:pt>
                <c:pt idx="4">
                  <c:v>45412</c:v>
                </c:pt>
                <c:pt idx="5">
                  <c:v>45382</c:v>
                </c:pt>
                <c:pt idx="6">
                  <c:v>45351</c:v>
                </c:pt>
                <c:pt idx="7">
                  <c:v>45322</c:v>
                </c:pt>
                <c:pt idx="8">
                  <c:v>45291</c:v>
                </c:pt>
                <c:pt idx="9">
                  <c:v>45260</c:v>
                </c:pt>
                <c:pt idx="10">
                  <c:v>45230</c:v>
                </c:pt>
                <c:pt idx="11">
                  <c:v>45199</c:v>
                </c:pt>
                <c:pt idx="12">
                  <c:v>45169</c:v>
                </c:pt>
                <c:pt idx="13">
                  <c:v>45138</c:v>
                </c:pt>
                <c:pt idx="14">
                  <c:v>45107</c:v>
                </c:pt>
                <c:pt idx="15">
                  <c:v>45077</c:v>
                </c:pt>
                <c:pt idx="16">
                  <c:v>45046</c:v>
                </c:pt>
                <c:pt idx="17">
                  <c:v>45016</c:v>
                </c:pt>
                <c:pt idx="18">
                  <c:v>44985</c:v>
                </c:pt>
                <c:pt idx="19">
                  <c:v>44957</c:v>
                </c:pt>
                <c:pt idx="20">
                  <c:v>44926</c:v>
                </c:pt>
                <c:pt idx="21">
                  <c:v>44895</c:v>
                </c:pt>
                <c:pt idx="22">
                  <c:v>44865</c:v>
                </c:pt>
                <c:pt idx="23">
                  <c:v>44834</c:v>
                </c:pt>
                <c:pt idx="24">
                  <c:v>44804</c:v>
                </c:pt>
                <c:pt idx="25">
                  <c:v>44773</c:v>
                </c:pt>
                <c:pt idx="26">
                  <c:v>44742</c:v>
                </c:pt>
                <c:pt idx="27">
                  <c:v>44712</c:v>
                </c:pt>
                <c:pt idx="28">
                  <c:v>44681</c:v>
                </c:pt>
                <c:pt idx="29">
                  <c:v>44651</c:v>
                </c:pt>
                <c:pt idx="30">
                  <c:v>44620</c:v>
                </c:pt>
                <c:pt idx="31">
                  <c:v>44592</c:v>
                </c:pt>
                <c:pt idx="32">
                  <c:v>44561</c:v>
                </c:pt>
                <c:pt idx="33">
                  <c:v>44530</c:v>
                </c:pt>
                <c:pt idx="34">
                  <c:v>44500</c:v>
                </c:pt>
                <c:pt idx="35">
                  <c:v>44469</c:v>
                </c:pt>
                <c:pt idx="36">
                  <c:v>44439</c:v>
                </c:pt>
                <c:pt idx="37">
                  <c:v>44408</c:v>
                </c:pt>
                <c:pt idx="38">
                  <c:v>44377</c:v>
                </c:pt>
                <c:pt idx="39">
                  <c:v>44347</c:v>
                </c:pt>
                <c:pt idx="40">
                  <c:v>44316</c:v>
                </c:pt>
                <c:pt idx="41">
                  <c:v>44286</c:v>
                </c:pt>
                <c:pt idx="42">
                  <c:v>44255</c:v>
                </c:pt>
                <c:pt idx="43">
                  <c:v>44227</c:v>
                </c:pt>
                <c:pt idx="44">
                  <c:v>44196</c:v>
                </c:pt>
                <c:pt idx="45">
                  <c:v>44165</c:v>
                </c:pt>
                <c:pt idx="46">
                  <c:v>44135</c:v>
                </c:pt>
                <c:pt idx="47">
                  <c:v>44104</c:v>
                </c:pt>
                <c:pt idx="48">
                  <c:v>44074</c:v>
                </c:pt>
                <c:pt idx="49">
                  <c:v>44043</c:v>
                </c:pt>
                <c:pt idx="50">
                  <c:v>44012</c:v>
                </c:pt>
                <c:pt idx="51">
                  <c:v>43982</c:v>
                </c:pt>
                <c:pt idx="52">
                  <c:v>43951</c:v>
                </c:pt>
                <c:pt idx="53">
                  <c:v>43921</c:v>
                </c:pt>
                <c:pt idx="54">
                  <c:v>43890</c:v>
                </c:pt>
                <c:pt idx="55">
                  <c:v>43861</c:v>
                </c:pt>
                <c:pt idx="56">
                  <c:v>43830</c:v>
                </c:pt>
                <c:pt idx="57">
                  <c:v>43799</c:v>
                </c:pt>
                <c:pt idx="58">
                  <c:v>43769</c:v>
                </c:pt>
                <c:pt idx="59">
                  <c:v>43738</c:v>
                </c:pt>
                <c:pt idx="60">
                  <c:v>43708</c:v>
                </c:pt>
                <c:pt idx="61">
                  <c:v>43677</c:v>
                </c:pt>
                <c:pt idx="62">
                  <c:v>43646</c:v>
                </c:pt>
                <c:pt idx="63">
                  <c:v>43616</c:v>
                </c:pt>
                <c:pt idx="64">
                  <c:v>43585</c:v>
                </c:pt>
                <c:pt idx="65">
                  <c:v>43555</c:v>
                </c:pt>
                <c:pt idx="66">
                  <c:v>43524</c:v>
                </c:pt>
                <c:pt idx="67">
                  <c:v>43496</c:v>
                </c:pt>
                <c:pt idx="68">
                  <c:v>43465</c:v>
                </c:pt>
                <c:pt idx="69">
                  <c:v>43434</c:v>
                </c:pt>
                <c:pt idx="70">
                  <c:v>43404</c:v>
                </c:pt>
                <c:pt idx="71">
                  <c:v>43373</c:v>
                </c:pt>
                <c:pt idx="72">
                  <c:v>43343</c:v>
                </c:pt>
                <c:pt idx="73">
                  <c:v>43312</c:v>
                </c:pt>
                <c:pt idx="74">
                  <c:v>43281</c:v>
                </c:pt>
                <c:pt idx="75">
                  <c:v>43251</c:v>
                </c:pt>
                <c:pt idx="76">
                  <c:v>43220</c:v>
                </c:pt>
                <c:pt idx="77">
                  <c:v>43190</c:v>
                </c:pt>
                <c:pt idx="78">
                  <c:v>43159</c:v>
                </c:pt>
                <c:pt idx="79">
                  <c:v>43131</c:v>
                </c:pt>
                <c:pt idx="80">
                  <c:v>43100</c:v>
                </c:pt>
                <c:pt idx="81">
                  <c:v>43069</c:v>
                </c:pt>
                <c:pt idx="82">
                  <c:v>43039</c:v>
                </c:pt>
                <c:pt idx="83">
                  <c:v>43008</c:v>
                </c:pt>
                <c:pt idx="84">
                  <c:v>42978</c:v>
                </c:pt>
                <c:pt idx="85">
                  <c:v>42947</c:v>
                </c:pt>
                <c:pt idx="86">
                  <c:v>42916</c:v>
                </c:pt>
                <c:pt idx="87">
                  <c:v>42886</c:v>
                </c:pt>
                <c:pt idx="88">
                  <c:v>42855</c:v>
                </c:pt>
                <c:pt idx="89">
                  <c:v>42825</c:v>
                </c:pt>
                <c:pt idx="90">
                  <c:v>42794</c:v>
                </c:pt>
                <c:pt idx="91">
                  <c:v>42766</c:v>
                </c:pt>
                <c:pt idx="92">
                  <c:v>42735</c:v>
                </c:pt>
                <c:pt idx="93">
                  <c:v>42704</c:v>
                </c:pt>
                <c:pt idx="94">
                  <c:v>42674</c:v>
                </c:pt>
                <c:pt idx="95">
                  <c:v>42643</c:v>
                </c:pt>
                <c:pt idx="96">
                  <c:v>42613</c:v>
                </c:pt>
                <c:pt idx="97">
                  <c:v>42582</c:v>
                </c:pt>
                <c:pt idx="98">
                  <c:v>42551</c:v>
                </c:pt>
                <c:pt idx="99">
                  <c:v>42521</c:v>
                </c:pt>
                <c:pt idx="100">
                  <c:v>42490</c:v>
                </c:pt>
                <c:pt idx="101">
                  <c:v>42460</c:v>
                </c:pt>
                <c:pt idx="102">
                  <c:v>42429</c:v>
                </c:pt>
                <c:pt idx="103">
                  <c:v>42400</c:v>
                </c:pt>
                <c:pt idx="104">
                  <c:v>42369</c:v>
                </c:pt>
                <c:pt idx="105">
                  <c:v>42338</c:v>
                </c:pt>
                <c:pt idx="106">
                  <c:v>42308</c:v>
                </c:pt>
                <c:pt idx="107">
                  <c:v>42277</c:v>
                </c:pt>
                <c:pt idx="108">
                  <c:v>42247</c:v>
                </c:pt>
                <c:pt idx="109">
                  <c:v>42216</c:v>
                </c:pt>
                <c:pt idx="110">
                  <c:v>42185</c:v>
                </c:pt>
                <c:pt idx="111">
                  <c:v>42155</c:v>
                </c:pt>
                <c:pt idx="112">
                  <c:v>42124</c:v>
                </c:pt>
                <c:pt idx="113">
                  <c:v>42094</c:v>
                </c:pt>
                <c:pt idx="114">
                  <c:v>42063</c:v>
                </c:pt>
                <c:pt idx="115">
                  <c:v>42035</c:v>
                </c:pt>
                <c:pt idx="116">
                  <c:v>42004</c:v>
                </c:pt>
                <c:pt idx="117">
                  <c:v>41973</c:v>
                </c:pt>
                <c:pt idx="118">
                  <c:v>41943</c:v>
                </c:pt>
                <c:pt idx="119">
                  <c:v>41912</c:v>
                </c:pt>
                <c:pt idx="120">
                  <c:v>41882</c:v>
                </c:pt>
                <c:pt idx="121">
                  <c:v>41851</c:v>
                </c:pt>
                <c:pt idx="122">
                  <c:v>41820</c:v>
                </c:pt>
                <c:pt idx="123">
                  <c:v>41790</c:v>
                </c:pt>
                <c:pt idx="124">
                  <c:v>41759</c:v>
                </c:pt>
                <c:pt idx="125">
                  <c:v>41729</c:v>
                </c:pt>
                <c:pt idx="126">
                  <c:v>41698</c:v>
                </c:pt>
                <c:pt idx="127">
                  <c:v>41670</c:v>
                </c:pt>
                <c:pt idx="128">
                  <c:v>41639</c:v>
                </c:pt>
                <c:pt idx="129">
                  <c:v>41608</c:v>
                </c:pt>
                <c:pt idx="130">
                  <c:v>41578</c:v>
                </c:pt>
                <c:pt idx="131">
                  <c:v>41547</c:v>
                </c:pt>
                <c:pt idx="132">
                  <c:v>41517</c:v>
                </c:pt>
                <c:pt idx="133">
                  <c:v>41486</c:v>
                </c:pt>
                <c:pt idx="134">
                  <c:v>41455</c:v>
                </c:pt>
                <c:pt idx="135">
                  <c:v>41425</c:v>
                </c:pt>
                <c:pt idx="136">
                  <c:v>41394</c:v>
                </c:pt>
                <c:pt idx="137">
                  <c:v>41364</c:v>
                </c:pt>
                <c:pt idx="138">
                  <c:v>41333</c:v>
                </c:pt>
                <c:pt idx="139">
                  <c:v>41305</c:v>
                </c:pt>
                <c:pt idx="140">
                  <c:v>41274</c:v>
                </c:pt>
                <c:pt idx="141">
                  <c:v>41243</c:v>
                </c:pt>
                <c:pt idx="142">
                  <c:v>41213</c:v>
                </c:pt>
                <c:pt idx="143">
                  <c:v>41182</c:v>
                </c:pt>
                <c:pt idx="144">
                  <c:v>41152</c:v>
                </c:pt>
                <c:pt idx="145">
                  <c:v>41121</c:v>
                </c:pt>
                <c:pt idx="146">
                  <c:v>41090</c:v>
                </c:pt>
                <c:pt idx="147">
                  <c:v>41060</c:v>
                </c:pt>
                <c:pt idx="148">
                  <c:v>41029</c:v>
                </c:pt>
                <c:pt idx="149">
                  <c:v>40999</c:v>
                </c:pt>
                <c:pt idx="150">
                  <c:v>40968</c:v>
                </c:pt>
                <c:pt idx="151">
                  <c:v>40939</c:v>
                </c:pt>
                <c:pt idx="152">
                  <c:v>40908</c:v>
                </c:pt>
                <c:pt idx="153">
                  <c:v>40877</c:v>
                </c:pt>
                <c:pt idx="154">
                  <c:v>40847</c:v>
                </c:pt>
                <c:pt idx="155">
                  <c:v>40816</c:v>
                </c:pt>
                <c:pt idx="156">
                  <c:v>40786</c:v>
                </c:pt>
                <c:pt idx="157">
                  <c:v>40755</c:v>
                </c:pt>
                <c:pt idx="158">
                  <c:v>40724</c:v>
                </c:pt>
                <c:pt idx="159">
                  <c:v>40694</c:v>
                </c:pt>
                <c:pt idx="160">
                  <c:v>40663</c:v>
                </c:pt>
                <c:pt idx="161">
                  <c:v>40633</c:v>
                </c:pt>
                <c:pt idx="162">
                  <c:v>40602</c:v>
                </c:pt>
                <c:pt idx="163">
                  <c:v>40574</c:v>
                </c:pt>
                <c:pt idx="164">
                  <c:v>40543</c:v>
                </c:pt>
                <c:pt idx="165">
                  <c:v>40512</c:v>
                </c:pt>
                <c:pt idx="166">
                  <c:v>40482</c:v>
                </c:pt>
                <c:pt idx="167">
                  <c:v>40451</c:v>
                </c:pt>
                <c:pt idx="168">
                  <c:v>40421</c:v>
                </c:pt>
                <c:pt idx="169">
                  <c:v>40390</c:v>
                </c:pt>
                <c:pt idx="170">
                  <c:v>40359</c:v>
                </c:pt>
                <c:pt idx="171">
                  <c:v>40329</c:v>
                </c:pt>
                <c:pt idx="172">
                  <c:v>40298</c:v>
                </c:pt>
                <c:pt idx="173">
                  <c:v>40268</c:v>
                </c:pt>
                <c:pt idx="174">
                  <c:v>40237</c:v>
                </c:pt>
                <c:pt idx="175">
                  <c:v>40209</c:v>
                </c:pt>
                <c:pt idx="176">
                  <c:v>40178</c:v>
                </c:pt>
                <c:pt idx="177">
                  <c:v>40147</c:v>
                </c:pt>
                <c:pt idx="178">
                  <c:v>40117</c:v>
                </c:pt>
              </c:numCache>
            </c:numRef>
          </c:cat>
          <c:val>
            <c:numRef>
              <c:f>Sheet1!$Q$5:$Q$183</c:f>
              <c:numCache>
                <c:formatCode>General</c:formatCode>
                <c:ptCount val="179"/>
                <c:pt idx="0">
                  <c:v>9500</c:v>
                </c:pt>
                <c:pt idx="1">
                  <c:v>7830</c:v>
                </c:pt>
                <c:pt idx="2">
                  <c:v>8740</c:v>
                </c:pt>
                <c:pt idx="3">
                  <c:v>9630</c:v>
                </c:pt>
                <c:pt idx="4">
                  <c:v>9220</c:v>
                </c:pt>
                <c:pt idx="5">
                  <c:v>9890</c:v>
                </c:pt>
                <c:pt idx="6">
                  <c:v>7170</c:v>
                </c:pt>
                <c:pt idx="7">
                  <c:v>8740</c:v>
                </c:pt>
                <c:pt idx="8">
                  <c:v>7730</c:v>
                </c:pt>
                <c:pt idx="9">
                  <c:v>8010</c:v>
                </c:pt>
                <c:pt idx="10">
                  <c:v>7940</c:v>
                </c:pt>
                <c:pt idx="11">
                  <c:v>8060</c:v>
                </c:pt>
                <c:pt idx="12">
                  <c:v>8280</c:v>
                </c:pt>
                <c:pt idx="13">
                  <c:v>7310</c:v>
                </c:pt>
                <c:pt idx="14">
                  <c:v>7510</c:v>
                </c:pt>
                <c:pt idx="15">
                  <c:v>8360</c:v>
                </c:pt>
                <c:pt idx="16">
                  <c:v>7930</c:v>
                </c:pt>
                <c:pt idx="17">
                  <c:v>7890</c:v>
                </c:pt>
                <c:pt idx="18">
                  <c:v>6160</c:v>
                </c:pt>
                <c:pt idx="19">
                  <c:v>6030</c:v>
                </c:pt>
                <c:pt idx="20">
                  <c:v>5400</c:v>
                </c:pt>
                <c:pt idx="21">
                  <c:v>5590</c:v>
                </c:pt>
                <c:pt idx="22">
                  <c:v>5180</c:v>
                </c:pt>
                <c:pt idx="23">
                  <c:v>4980</c:v>
                </c:pt>
                <c:pt idx="24">
                  <c:v>6150</c:v>
                </c:pt>
                <c:pt idx="25">
                  <c:v>6670</c:v>
                </c:pt>
                <c:pt idx="26">
                  <c:v>7560</c:v>
                </c:pt>
                <c:pt idx="27">
                  <c:v>7760</c:v>
                </c:pt>
                <c:pt idx="28">
                  <c:v>4980</c:v>
                </c:pt>
                <c:pt idx="29">
                  <c:v>4940</c:v>
                </c:pt>
                <c:pt idx="30">
                  <c:v>3620</c:v>
                </c:pt>
                <c:pt idx="31">
                  <c:v>4610</c:v>
                </c:pt>
                <c:pt idx="32">
                  <c:v>5030</c:v>
                </c:pt>
                <c:pt idx="33">
                  <c:v>4360</c:v>
                </c:pt>
                <c:pt idx="34">
                  <c:v>4500</c:v>
                </c:pt>
                <c:pt idx="35">
                  <c:v>4920</c:v>
                </c:pt>
                <c:pt idx="36">
                  <c:v>5050</c:v>
                </c:pt>
                <c:pt idx="37">
                  <c:v>5670</c:v>
                </c:pt>
                <c:pt idx="38">
                  <c:v>6460</c:v>
                </c:pt>
                <c:pt idx="39">
                  <c:v>5270</c:v>
                </c:pt>
                <c:pt idx="40">
                  <c:v>7970</c:v>
                </c:pt>
                <c:pt idx="41">
                  <c:v>7540</c:v>
                </c:pt>
                <c:pt idx="42">
                  <c:v>4900</c:v>
                </c:pt>
                <c:pt idx="43">
                  <c:v>5240</c:v>
                </c:pt>
                <c:pt idx="44">
                  <c:v>4850</c:v>
                </c:pt>
                <c:pt idx="45">
                  <c:v>4400</c:v>
                </c:pt>
                <c:pt idx="46">
                  <c:v>4040</c:v>
                </c:pt>
                <c:pt idx="47">
                  <c:v>3830</c:v>
                </c:pt>
                <c:pt idx="48">
                  <c:v>3680</c:v>
                </c:pt>
                <c:pt idx="49">
                  <c:v>4180</c:v>
                </c:pt>
                <c:pt idx="50">
                  <c:v>3700</c:v>
                </c:pt>
                <c:pt idx="51">
                  <c:v>4400</c:v>
                </c:pt>
                <c:pt idx="52">
                  <c:v>6320</c:v>
                </c:pt>
                <c:pt idx="53">
                  <c:v>6480</c:v>
                </c:pt>
                <c:pt idx="54">
                  <c:v>3440</c:v>
                </c:pt>
                <c:pt idx="55">
                  <c:v>4360</c:v>
                </c:pt>
                <c:pt idx="56">
                  <c:v>4680</c:v>
                </c:pt>
                <c:pt idx="57">
                  <c:v>4570</c:v>
                </c:pt>
                <c:pt idx="58">
                  <c:v>4782</c:v>
                </c:pt>
                <c:pt idx="59">
                  <c:v>5330</c:v>
                </c:pt>
                <c:pt idx="60">
                  <c:v>5010</c:v>
                </c:pt>
                <c:pt idx="61">
                  <c:v>5570</c:v>
                </c:pt>
                <c:pt idx="62">
                  <c:v>5306</c:v>
                </c:pt>
                <c:pt idx="63">
                  <c:v>5743</c:v>
                </c:pt>
                <c:pt idx="64">
                  <c:v>6330</c:v>
                </c:pt>
                <c:pt idx="65">
                  <c:v>6330</c:v>
                </c:pt>
                <c:pt idx="66">
                  <c:v>4510</c:v>
                </c:pt>
                <c:pt idx="67">
                  <c:v>6190</c:v>
                </c:pt>
                <c:pt idx="68">
                  <c:v>5560</c:v>
                </c:pt>
                <c:pt idx="69">
                  <c:v>5320</c:v>
                </c:pt>
                <c:pt idx="70">
                  <c:v>5500</c:v>
                </c:pt>
                <c:pt idx="71">
                  <c:v>5950</c:v>
                </c:pt>
                <c:pt idx="72">
                  <c:v>5880</c:v>
                </c:pt>
                <c:pt idx="73">
                  <c:v>5890</c:v>
                </c:pt>
                <c:pt idx="74">
                  <c:v>6940</c:v>
                </c:pt>
                <c:pt idx="75">
                  <c:v>6880</c:v>
                </c:pt>
                <c:pt idx="76">
                  <c:v>6480</c:v>
                </c:pt>
                <c:pt idx="77">
                  <c:v>5650</c:v>
                </c:pt>
                <c:pt idx="78">
                  <c:v>4850</c:v>
                </c:pt>
                <c:pt idx="79">
                  <c:v>4650</c:v>
                </c:pt>
                <c:pt idx="80">
                  <c:v>5670</c:v>
                </c:pt>
                <c:pt idx="81">
                  <c:v>5350</c:v>
                </c:pt>
                <c:pt idx="82">
                  <c:v>4980</c:v>
                </c:pt>
                <c:pt idx="83">
                  <c:v>5140</c:v>
                </c:pt>
                <c:pt idx="84">
                  <c:v>6520</c:v>
                </c:pt>
                <c:pt idx="85">
                  <c:v>6960</c:v>
                </c:pt>
                <c:pt idx="86">
                  <c:v>6810</c:v>
                </c:pt>
                <c:pt idx="87">
                  <c:v>6980</c:v>
                </c:pt>
                <c:pt idx="88">
                  <c:v>6490</c:v>
                </c:pt>
                <c:pt idx="89">
                  <c:v>7560</c:v>
                </c:pt>
                <c:pt idx="90">
                  <c:v>5750</c:v>
                </c:pt>
                <c:pt idx="91">
                  <c:v>7420</c:v>
                </c:pt>
                <c:pt idx="92">
                  <c:v>7800</c:v>
                </c:pt>
                <c:pt idx="93">
                  <c:v>8120</c:v>
                </c:pt>
                <c:pt idx="94">
                  <c:v>7690</c:v>
                </c:pt>
                <c:pt idx="95">
                  <c:v>8800</c:v>
                </c:pt>
                <c:pt idx="96">
                  <c:v>9010</c:v>
                </c:pt>
                <c:pt idx="97">
                  <c:v>10300</c:v>
                </c:pt>
                <c:pt idx="98">
                  <c:v>10940</c:v>
                </c:pt>
                <c:pt idx="99">
                  <c:v>9420</c:v>
                </c:pt>
                <c:pt idx="100">
                  <c:v>9080</c:v>
                </c:pt>
                <c:pt idx="101">
                  <c:v>9980</c:v>
                </c:pt>
                <c:pt idx="102">
                  <c:v>8110</c:v>
                </c:pt>
                <c:pt idx="103">
                  <c:v>9740</c:v>
                </c:pt>
                <c:pt idx="104">
                  <c:v>10654.86</c:v>
                </c:pt>
                <c:pt idx="105">
                  <c:v>9608.6200000000008</c:v>
                </c:pt>
                <c:pt idx="106">
                  <c:v>9023.77</c:v>
                </c:pt>
                <c:pt idx="107">
                  <c:v>11248.49</c:v>
                </c:pt>
                <c:pt idx="108">
                  <c:v>9732.9500000000007</c:v>
                </c:pt>
                <c:pt idx="109">
                  <c:v>9731.09</c:v>
                </c:pt>
                <c:pt idx="110">
                  <c:v>8885.4500000000007</c:v>
                </c:pt>
                <c:pt idx="111">
                  <c:v>9204.41</c:v>
                </c:pt>
                <c:pt idx="112">
                  <c:v>8535.65</c:v>
                </c:pt>
                <c:pt idx="113">
                  <c:v>7696.67</c:v>
                </c:pt>
                <c:pt idx="114">
                  <c:v>7795.38</c:v>
                </c:pt>
                <c:pt idx="115">
                  <c:v>10287.549999999999</c:v>
                </c:pt>
                <c:pt idx="116">
                  <c:v>10170.549999999999</c:v>
                </c:pt>
                <c:pt idx="117">
                  <c:v>9719.5</c:v>
                </c:pt>
                <c:pt idx="118">
                  <c:v>8550.01</c:v>
                </c:pt>
                <c:pt idx="119">
                  <c:v>8515.9</c:v>
                </c:pt>
                <c:pt idx="120">
                  <c:v>7761.33</c:v>
                </c:pt>
                <c:pt idx="121">
                  <c:v>8058.3</c:v>
                </c:pt>
                <c:pt idx="122">
                  <c:v>7071.82</c:v>
                </c:pt>
                <c:pt idx="123">
                  <c:v>8071.43</c:v>
                </c:pt>
                <c:pt idx="124">
                  <c:v>7543.34</c:v>
                </c:pt>
                <c:pt idx="125">
                  <c:v>6758.72</c:v>
                </c:pt>
                <c:pt idx="126">
                  <c:v>4804.22</c:v>
                </c:pt>
                <c:pt idx="127">
                  <c:v>6765.08</c:v>
                </c:pt>
                <c:pt idx="128">
                  <c:v>5370</c:v>
                </c:pt>
                <c:pt idx="129">
                  <c:v>5000</c:v>
                </c:pt>
                <c:pt idx="130">
                  <c:v>5070</c:v>
                </c:pt>
                <c:pt idx="131">
                  <c:v>4920</c:v>
                </c:pt>
                <c:pt idx="132">
                  <c:v>6140</c:v>
                </c:pt>
                <c:pt idx="133">
                  <c:v>5150</c:v>
                </c:pt>
                <c:pt idx="134">
                  <c:v>5290</c:v>
                </c:pt>
                <c:pt idx="135">
                  <c:v>5410</c:v>
                </c:pt>
                <c:pt idx="136">
                  <c:v>5550</c:v>
                </c:pt>
                <c:pt idx="137">
                  <c:v>5280</c:v>
                </c:pt>
                <c:pt idx="138">
                  <c:v>4240</c:v>
                </c:pt>
                <c:pt idx="139">
                  <c:v>4920</c:v>
                </c:pt>
                <c:pt idx="140">
                  <c:v>4850</c:v>
                </c:pt>
                <c:pt idx="141">
                  <c:v>5130</c:v>
                </c:pt>
                <c:pt idx="142">
                  <c:v>4840</c:v>
                </c:pt>
                <c:pt idx="143">
                  <c:v>5150</c:v>
                </c:pt>
                <c:pt idx="144">
                  <c:v>4240</c:v>
                </c:pt>
                <c:pt idx="145">
                  <c:v>4320</c:v>
                </c:pt>
                <c:pt idx="146">
                  <c:v>5220</c:v>
                </c:pt>
                <c:pt idx="147">
                  <c:v>5230</c:v>
                </c:pt>
                <c:pt idx="148">
                  <c:v>4670</c:v>
                </c:pt>
                <c:pt idx="149">
                  <c:v>5030</c:v>
                </c:pt>
                <c:pt idx="150">
                  <c:v>3390</c:v>
                </c:pt>
                <c:pt idx="151">
                  <c:v>3730</c:v>
                </c:pt>
                <c:pt idx="152">
                  <c:v>3720</c:v>
                </c:pt>
                <c:pt idx="153">
                  <c:v>4200</c:v>
                </c:pt>
                <c:pt idx="154">
                  <c:v>3820</c:v>
                </c:pt>
                <c:pt idx="155">
                  <c:v>4210</c:v>
                </c:pt>
                <c:pt idx="156">
                  <c:v>4190</c:v>
                </c:pt>
                <c:pt idx="157">
                  <c:v>4440</c:v>
                </c:pt>
                <c:pt idx="158">
                  <c:v>4290</c:v>
                </c:pt>
                <c:pt idx="159">
                  <c:v>4760</c:v>
                </c:pt>
                <c:pt idx="160">
                  <c:v>4770</c:v>
                </c:pt>
                <c:pt idx="161">
                  <c:v>4910</c:v>
                </c:pt>
                <c:pt idx="162">
                  <c:v>2480</c:v>
                </c:pt>
                <c:pt idx="163">
                  <c:v>3120</c:v>
                </c:pt>
                <c:pt idx="164">
                  <c:v>2850</c:v>
                </c:pt>
                <c:pt idx="165">
                  <c:v>2910</c:v>
                </c:pt>
                <c:pt idx="166">
                  <c:v>2860</c:v>
                </c:pt>
                <c:pt idx="167">
                  <c:v>3010</c:v>
                </c:pt>
                <c:pt idx="168">
                  <c:v>2800</c:v>
                </c:pt>
                <c:pt idx="169">
                  <c:v>4550</c:v>
                </c:pt>
                <c:pt idx="170">
                  <c:v>5620</c:v>
                </c:pt>
                <c:pt idx="171">
                  <c:v>4940</c:v>
                </c:pt>
                <c:pt idx="172">
                  <c:v>4310</c:v>
                </c:pt>
                <c:pt idx="173">
                  <c:v>3330</c:v>
                </c:pt>
                <c:pt idx="174">
                  <c:v>2490</c:v>
                </c:pt>
                <c:pt idx="175">
                  <c:v>2890</c:v>
                </c:pt>
                <c:pt idx="176">
                  <c:v>3340</c:v>
                </c:pt>
                <c:pt idx="177">
                  <c:v>2850</c:v>
                </c:pt>
                <c:pt idx="178">
                  <c:v>2710</c:v>
                </c:pt>
              </c:numCache>
            </c:numRef>
          </c:val>
          <c:smooth val="0"/>
          <c:extLst>
            <c:ext xmlns:c16="http://schemas.microsoft.com/office/drawing/2014/chart" uri="{C3380CC4-5D6E-409C-BE32-E72D297353CC}">
              <c16:uniqueId val="{00000000-D305-481B-8CD3-0EC650686032}"/>
            </c:ext>
          </c:extLst>
        </c:ser>
        <c:dLbls>
          <c:showLegendKey val="0"/>
          <c:showVal val="0"/>
          <c:showCatName val="0"/>
          <c:showSerName val="0"/>
          <c:showPercent val="0"/>
          <c:showBubbleSize val="0"/>
        </c:dLbls>
        <c:smooth val="0"/>
        <c:axId val="888031064"/>
        <c:axId val="888031424"/>
      </c:lineChart>
      <c:dateAx>
        <c:axId val="888031064"/>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88031424"/>
        <c:crosses val="autoZero"/>
        <c:auto val="1"/>
        <c:lblOffset val="100"/>
        <c:baseTimeUnit val="months"/>
        <c:majorUnit val="387"/>
        <c:majorTimeUnit val="days"/>
      </c:dateAx>
      <c:valAx>
        <c:axId val="888031424"/>
        <c:scaling>
          <c:orientation val="minMax"/>
        </c:scaling>
        <c:delete val="0"/>
        <c:axPos val="l"/>
        <c:majorGridlines>
          <c:spPr>
            <a:ln w="3175" cap="flat" cmpd="sng" algn="ctr">
              <a:solidFill>
                <a:schemeClr val="bg1">
                  <a:lumMod val="95000"/>
                  <a:alpha val="8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88031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Fidelity 2020">
    <a:dk1>
      <a:srgbClr val="20242B"/>
    </a:dk1>
    <a:lt1>
      <a:srgbClr val="FFFFFF"/>
    </a:lt1>
    <a:dk2>
      <a:srgbClr val="525C6C"/>
    </a:dk2>
    <a:lt2>
      <a:srgbClr val="F0F0F1"/>
    </a:lt2>
    <a:accent1>
      <a:srgbClr val="2190C2"/>
    </a:accent1>
    <a:accent2>
      <a:srgbClr val="EA6A19"/>
    </a:accent2>
    <a:accent3>
      <a:srgbClr val="FFC000"/>
    </a:accent3>
    <a:accent4>
      <a:srgbClr val="82C823"/>
    </a:accent4>
    <a:accent5>
      <a:srgbClr val="11C5C5"/>
    </a:accent5>
    <a:accent6>
      <a:srgbClr val="C74BD5"/>
    </a:accent6>
    <a:hlink>
      <a:srgbClr val="1175AA"/>
    </a:hlink>
    <a:folHlink>
      <a:srgbClr val="951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Fidelity 2020">
    <a:dk1>
      <a:srgbClr val="20242B"/>
    </a:dk1>
    <a:lt1>
      <a:srgbClr val="FFFFFF"/>
    </a:lt1>
    <a:dk2>
      <a:srgbClr val="525C6C"/>
    </a:dk2>
    <a:lt2>
      <a:srgbClr val="F0F0F1"/>
    </a:lt2>
    <a:accent1>
      <a:srgbClr val="2190C2"/>
    </a:accent1>
    <a:accent2>
      <a:srgbClr val="EA6A19"/>
    </a:accent2>
    <a:accent3>
      <a:srgbClr val="FFC000"/>
    </a:accent3>
    <a:accent4>
      <a:srgbClr val="82C823"/>
    </a:accent4>
    <a:accent5>
      <a:srgbClr val="11C5C5"/>
    </a:accent5>
    <a:accent6>
      <a:srgbClr val="C74BD5"/>
    </a:accent6>
    <a:hlink>
      <a:srgbClr val="1175AA"/>
    </a:hlink>
    <a:folHlink>
      <a:srgbClr val="951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2070</Words>
  <Characters>12216</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14258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2024-10-16T09:10:00Z</dcterms:created>
  <dcterms:modified xsi:type="dcterms:W3CDTF">2024-10-16T09:10:00Z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